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XHZJ2024005</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w:t>
      </w:r>
      <w:r>
        <w:rPr>
          <w:rFonts w:hint="eastAsia" w:ascii="宋体" w:hAnsi="宋体" w:cs="宋体"/>
          <w:b/>
          <w:color w:val="auto"/>
          <w:sz w:val="36"/>
          <w:highlight w:val="none"/>
          <w:lang w:val="en-US" w:eastAsia="zh-CN"/>
        </w:rPr>
        <w:t>奔牛人民医院长廊改造项目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2"/>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cs="宋体"/>
                <w:b w:val="0"/>
                <w:bCs/>
                <w:color w:val="auto"/>
                <w:sz w:val="21"/>
                <w:szCs w:val="21"/>
                <w:highlight w:val="none"/>
                <w:lang w:val="en-US" w:eastAsia="zh-CN"/>
              </w:rPr>
              <w:t>奔牛人民医院长廊改造项目</w:t>
            </w:r>
          </w:p>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项目编号：</w:t>
            </w:r>
            <w:r>
              <w:rPr>
                <w:rFonts w:hint="eastAsia" w:ascii="宋体" w:hAnsi="宋体" w:cs="宋体"/>
                <w:b w:val="0"/>
                <w:bCs/>
                <w:color w:val="auto"/>
                <w:sz w:val="21"/>
                <w:szCs w:val="21"/>
                <w:highlight w:val="none"/>
                <w:lang w:val="en-US" w:eastAsia="zh-CN"/>
              </w:rPr>
              <w:t>XHZJ2024005</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工期</w:t>
            </w:r>
            <w:r>
              <w:rPr>
                <w:rFonts w:hint="eastAsia" w:ascii="宋体" w:hAnsi="宋体" w:cs="宋体"/>
                <w:color w:val="auto"/>
                <w:szCs w:val="20"/>
                <w:highlight w:val="none"/>
                <w:lang w:val="en-US" w:eastAsia="zh-CN"/>
              </w:rPr>
              <w:t>:20个日历日</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2024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 3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18</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 xml:space="preserve"> 2024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 3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 xml:space="preserve"> 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 xml:space="preserve"> 2024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3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21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w:t>
            </w:r>
            <w:r>
              <w:rPr>
                <w:rFonts w:hint="eastAsia" w:ascii="宋体" w:hAnsi="宋体" w:cs="宋体"/>
                <w:color w:val="auto"/>
                <w:szCs w:val="21"/>
                <w:highlight w:val="none"/>
                <w:lang w:eastAsia="zh-CN"/>
              </w:rPr>
              <w:t>常州新禾招投标有限公司</w:t>
            </w:r>
            <w:r>
              <w:rPr>
                <w:rFonts w:hint="eastAsia" w:ascii="宋体" w:hAnsi="宋体" w:cs="宋体"/>
                <w:color w:val="auto"/>
                <w:szCs w:val="21"/>
                <w:highlight w:val="none"/>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2024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 xml:space="preserve"> 14:00 </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2024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 3</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22 </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 xml:space="preserve"> 13:00 </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 xml:space="preserve"> 14:00 </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39</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overflowPunct w:val="0"/>
        <w:spacing w:line="360" w:lineRule="auto"/>
        <w:jc w:val="center"/>
        <w:rPr>
          <w:rFonts w:ascii="宋体" w:hAnsi="宋体" w:cs="宋体"/>
          <w:color w:val="auto"/>
          <w:highlight w:val="none"/>
        </w:rPr>
      </w:pPr>
      <w:r>
        <w:rPr>
          <w:rFonts w:hint="eastAsia" w:ascii="宋体" w:hAnsi="宋体" w:cs="宋体"/>
          <w:b/>
          <w:bCs w:val="0"/>
          <w:color w:val="auto"/>
          <w:sz w:val="32"/>
          <w:szCs w:val="32"/>
          <w:highlight w:val="none"/>
          <w:u w:val="single"/>
          <w:lang w:val="en-US" w:eastAsia="zh-CN"/>
        </w:rPr>
        <w:t>奔牛人民医院长廊改造项目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overflowPunct w:val="0"/>
              <w:spacing w:line="360" w:lineRule="auto"/>
              <w:ind w:firstLine="482" w:firstLineChars="200"/>
              <w:rPr>
                <w:rFonts w:ascii="宋体" w:hAnsi="宋体" w:cs="宋体"/>
                <w:sz w:val="24"/>
              </w:rPr>
            </w:pPr>
            <w:r>
              <w:rPr>
                <w:rFonts w:hint="eastAsia" w:ascii="宋体" w:hAnsi="宋体" w:cs="宋体"/>
                <w:b/>
                <w:bCs w:val="0"/>
                <w:color w:val="auto"/>
                <w:sz w:val="24"/>
                <w:szCs w:val="24"/>
                <w:highlight w:val="none"/>
                <w:u w:val="single"/>
                <w:lang w:val="en-US" w:eastAsia="zh-CN"/>
              </w:rPr>
              <w:t>奔牛人民医院长廊改造项目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 xml:space="preserve"> 2024 </w:t>
            </w:r>
            <w:r>
              <w:rPr>
                <w:rFonts w:hint="eastAsia" w:ascii="宋体" w:hAnsi="宋体" w:cs="宋体"/>
                <w:sz w:val="24"/>
                <w:szCs w:val="24"/>
              </w:rPr>
              <w:t>年</w:t>
            </w:r>
            <w:r>
              <w:rPr>
                <w:rFonts w:hint="eastAsia" w:ascii="宋体" w:hAnsi="宋体" w:cs="宋体"/>
                <w:b/>
                <w:sz w:val="24"/>
                <w:szCs w:val="24"/>
                <w:u w:val="single"/>
                <w:lang w:val="en-US" w:eastAsia="zh-CN"/>
              </w:rPr>
              <w:t xml:space="preserve"> 3 </w:t>
            </w:r>
            <w:r>
              <w:rPr>
                <w:rFonts w:hint="eastAsia" w:ascii="宋体" w:hAnsi="宋体" w:cs="宋体"/>
                <w:sz w:val="24"/>
                <w:szCs w:val="24"/>
              </w:rPr>
              <w:t>月</w:t>
            </w:r>
            <w:r>
              <w:rPr>
                <w:rFonts w:hint="eastAsia" w:ascii="宋体" w:hAnsi="宋体" w:cs="宋体"/>
                <w:b/>
                <w:sz w:val="24"/>
                <w:szCs w:val="24"/>
                <w:u w:val="single"/>
                <w:lang w:val="en-US" w:eastAsia="zh-CN"/>
              </w:rPr>
              <w:t xml:space="preserve"> 22 </w:t>
            </w:r>
            <w:r>
              <w:rPr>
                <w:rFonts w:hint="eastAsia" w:ascii="宋体" w:hAnsi="宋体" w:cs="宋体"/>
                <w:sz w:val="24"/>
                <w:szCs w:val="24"/>
              </w:rPr>
              <w:t>日下午</w:t>
            </w:r>
            <w:r>
              <w:rPr>
                <w:rFonts w:hint="eastAsia" w:ascii="宋体" w:hAnsi="宋体" w:cs="宋体"/>
                <w:b/>
                <w:sz w:val="24"/>
                <w:szCs w:val="24"/>
                <w:u w:val="single"/>
                <w:lang w:val="en-US" w:eastAsia="zh-CN"/>
              </w:rPr>
              <w:t xml:space="preserve"> 14:00 </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项目编号:</w:t>
      </w:r>
      <w:r>
        <w:rPr>
          <w:rFonts w:hint="eastAsia" w:ascii="宋体" w:hAnsi="宋体" w:cs="宋体"/>
          <w:b w:val="0"/>
          <w:bCs/>
          <w:color w:val="auto"/>
          <w:sz w:val="24"/>
          <w:szCs w:val="24"/>
          <w:highlight w:val="none"/>
          <w:u w:val="none"/>
          <w:lang w:val="en-US" w:eastAsia="zh-CN"/>
        </w:rPr>
        <w:t>奔牛人民医院长廊改造项目</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color w:val="auto"/>
          <w:szCs w:val="21"/>
          <w:highlight w:val="none"/>
          <w:lang w:val="zh-CN"/>
        </w:rPr>
        <w:t>：</w:t>
      </w:r>
      <w:r>
        <w:rPr>
          <w:rFonts w:hint="eastAsia" w:ascii="宋体" w:hAnsi="宋体" w:cs="宋体"/>
          <w:b w:val="0"/>
          <w:bCs/>
          <w:color w:val="auto"/>
          <w:sz w:val="24"/>
          <w:szCs w:val="24"/>
          <w:highlight w:val="none"/>
          <w:lang w:val="en-US" w:eastAsia="zh-CN"/>
        </w:rPr>
        <w:t>XHZJ2024005</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人民币7.5万元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人民币7.5万元</w:t>
      </w:r>
    </w:p>
    <w:p>
      <w:pPr>
        <w:adjustRightInd w:val="0"/>
        <w:snapToGrid w:val="0"/>
        <w:spacing w:line="360" w:lineRule="auto"/>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color w:val="auto"/>
          <w:sz w:val="24"/>
          <w:szCs w:val="24"/>
          <w:highlight w:val="none"/>
          <w:u w:val="none"/>
          <w:lang w:val="en-US" w:eastAsia="zh-CN"/>
        </w:rPr>
        <w:t>奔牛人民医院长廊改造项目</w:t>
      </w:r>
    </w:p>
    <w:p>
      <w:pPr>
        <w:adjustRightInd w:val="0"/>
        <w:snapToGrid w:val="0"/>
        <w:spacing w:line="360" w:lineRule="auto"/>
        <w:rPr>
          <w:rFonts w:hint="eastAsia" w:ascii="宋体" w:hAnsi="宋体" w:eastAsia="宋体" w:cs="宋体"/>
          <w:b w:val="0"/>
          <w:bCs w:val="0"/>
          <w:sz w:val="24"/>
          <w:szCs w:val="24"/>
          <w:lang w:val="en-US"/>
        </w:rPr>
      </w:pPr>
      <w:r>
        <w:rPr>
          <w:rFonts w:hint="eastAsia" w:ascii="宋体" w:hAnsi="宋体" w:cs="宋体"/>
          <w:b w:val="0"/>
          <w:bCs w:val="0"/>
          <w:sz w:val="24"/>
          <w:lang w:eastAsia="zh-CN"/>
        </w:rPr>
        <w:t>工期</w:t>
      </w:r>
      <w:r>
        <w:rPr>
          <w:rFonts w:hint="eastAsia" w:ascii="宋体" w:hAnsi="宋体" w:cs="宋体"/>
          <w:b w:val="0"/>
          <w:bCs w:val="0"/>
          <w:sz w:val="24"/>
          <w:lang w:val="en-US" w:eastAsia="zh-CN"/>
        </w:rPr>
        <w:t>:</w:t>
      </w:r>
      <w:r>
        <w:rPr>
          <w:rFonts w:hint="eastAsia" w:ascii="宋体" w:hAnsi="宋体" w:eastAsia="宋体" w:cs="宋体"/>
          <w:i w:val="0"/>
          <w:iCs w:val="0"/>
          <w:caps w:val="0"/>
          <w:color w:val="000000"/>
          <w:spacing w:val="0"/>
          <w:sz w:val="24"/>
          <w:szCs w:val="24"/>
        </w:rPr>
        <w:t>施工工期为</w:t>
      </w:r>
      <w:r>
        <w:rPr>
          <w:rFonts w:hint="eastAsia" w:ascii="宋体" w:hAnsi="宋体" w:eastAsia="宋体" w:cs="宋体"/>
          <w:i w:val="0"/>
          <w:iCs w:val="0"/>
          <w:caps w:val="0"/>
          <w:color w:val="000000"/>
          <w:spacing w:val="0"/>
          <w:sz w:val="24"/>
          <w:szCs w:val="24"/>
          <w:lang w:val="en-US" w:eastAsia="zh-CN"/>
        </w:rPr>
        <w:t>20个</w:t>
      </w:r>
      <w:r>
        <w:rPr>
          <w:rFonts w:hint="eastAsia" w:ascii="宋体" w:hAnsi="宋体" w:eastAsia="宋体" w:cs="宋体"/>
          <w:i w:val="0"/>
          <w:iCs w:val="0"/>
          <w:caps w:val="0"/>
          <w:color w:val="000000"/>
          <w:spacing w:val="0"/>
          <w:sz w:val="24"/>
          <w:szCs w:val="24"/>
        </w:rPr>
        <w:t>日历</w:t>
      </w:r>
      <w:r>
        <w:rPr>
          <w:rFonts w:hint="eastAsia" w:ascii="宋体" w:hAnsi="宋体" w:eastAsia="宋体" w:cs="宋体"/>
          <w:i w:val="0"/>
          <w:iCs w:val="0"/>
          <w:caps w:val="0"/>
          <w:color w:val="000000"/>
          <w:spacing w:val="0"/>
          <w:sz w:val="24"/>
          <w:szCs w:val="24"/>
          <w:lang w:val="en-US" w:eastAsia="zh-CN"/>
        </w:rPr>
        <w:t>日</w:t>
      </w:r>
      <w:r>
        <w:rPr>
          <w:rFonts w:hint="eastAsia" w:ascii="宋体" w:hAnsi="宋体" w:eastAsia="宋体" w:cs="宋体"/>
          <w:i w:val="0"/>
          <w:iCs w:val="0"/>
          <w:caps w:val="0"/>
          <w:color w:val="000000"/>
          <w:spacing w:val="0"/>
          <w:sz w:val="24"/>
          <w:szCs w:val="24"/>
        </w:rPr>
        <w:t>，同时施工工期必须严格服从采购方的安排，满足工程进度的要求。若遇不可抗力原因，可经采购方同意后延期。质保期自竣工验收合格后</w:t>
      </w:r>
      <w:r>
        <w:rPr>
          <w:rFonts w:hint="eastAsia" w:ascii="宋体" w:hAnsi="宋体" w:eastAsia="宋体" w:cs="宋体"/>
          <w:i w:val="0"/>
          <w:iCs w:val="0"/>
          <w:caps w:val="0"/>
          <w:color w:val="000000"/>
          <w:spacing w:val="0"/>
          <w:sz w:val="24"/>
          <w:szCs w:val="24"/>
          <w:lang w:val="en-US" w:eastAsia="zh-CN"/>
        </w:rPr>
        <w:t>一</w:t>
      </w:r>
      <w:r>
        <w:rPr>
          <w:rFonts w:hint="eastAsia" w:ascii="宋体" w:hAnsi="宋体" w:eastAsia="宋体" w:cs="宋体"/>
          <w:i w:val="0"/>
          <w:iCs w:val="0"/>
          <w:caps w:val="0"/>
          <w:color w:val="000000"/>
          <w:spacing w:val="0"/>
          <w:sz w:val="24"/>
          <w:szCs w:val="24"/>
        </w:rPr>
        <w:t>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 xml:space="preserve"> 2024 </w:t>
      </w:r>
      <w:r>
        <w:rPr>
          <w:rFonts w:hint="eastAsia" w:ascii="宋体" w:hAnsi="宋体" w:cs="宋体"/>
          <w:sz w:val="24"/>
          <w:szCs w:val="24"/>
        </w:rPr>
        <w:t>年</w:t>
      </w:r>
      <w:r>
        <w:rPr>
          <w:rFonts w:hint="eastAsia" w:ascii="宋体" w:hAnsi="宋体" w:cs="宋体"/>
          <w:b/>
          <w:sz w:val="24"/>
          <w:szCs w:val="24"/>
          <w:u w:val="single"/>
          <w:lang w:val="en-US" w:eastAsia="zh-CN"/>
        </w:rPr>
        <w:t xml:space="preserve"> 3 </w:t>
      </w:r>
      <w:r>
        <w:rPr>
          <w:rFonts w:hint="eastAsia" w:ascii="宋体" w:hAnsi="宋体" w:cs="宋体"/>
          <w:sz w:val="24"/>
          <w:szCs w:val="24"/>
        </w:rPr>
        <w:t>月</w:t>
      </w:r>
      <w:r>
        <w:rPr>
          <w:rFonts w:hint="eastAsia" w:ascii="宋体" w:hAnsi="宋体" w:cs="宋体"/>
          <w:b/>
          <w:sz w:val="24"/>
          <w:szCs w:val="24"/>
          <w:u w:val="single"/>
          <w:lang w:val="en-US" w:eastAsia="zh-CN"/>
        </w:rPr>
        <w:t xml:space="preserve"> 18 </w:t>
      </w:r>
      <w:r>
        <w:rPr>
          <w:rFonts w:hint="eastAsia" w:ascii="宋体" w:hAnsi="宋体" w:cs="宋体"/>
          <w:sz w:val="24"/>
          <w:szCs w:val="24"/>
        </w:rPr>
        <w:t>日至</w:t>
      </w:r>
      <w:r>
        <w:rPr>
          <w:rFonts w:hint="eastAsia" w:ascii="宋体" w:hAnsi="宋体" w:cs="宋体"/>
          <w:b/>
          <w:sz w:val="24"/>
          <w:szCs w:val="24"/>
          <w:u w:val="single"/>
          <w:lang w:val="en-US" w:eastAsia="zh-CN"/>
        </w:rPr>
        <w:t xml:space="preserve"> 2024 </w:t>
      </w:r>
      <w:r>
        <w:rPr>
          <w:rFonts w:hint="eastAsia" w:ascii="宋体" w:hAnsi="宋体" w:cs="宋体"/>
          <w:sz w:val="24"/>
          <w:szCs w:val="24"/>
        </w:rPr>
        <w:t>年</w:t>
      </w:r>
      <w:r>
        <w:rPr>
          <w:rFonts w:hint="eastAsia" w:ascii="宋体" w:hAnsi="宋体" w:cs="宋体"/>
          <w:b/>
          <w:sz w:val="24"/>
          <w:szCs w:val="24"/>
          <w:u w:val="single"/>
          <w:lang w:val="en-US" w:eastAsia="zh-CN"/>
        </w:rPr>
        <w:t xml:space="preserve"> 3 </w:t>
      </w:r>
      <w:r>
        <w:rPr>
          <w:rFonts w:hint="eastAsia" w:ascii="宋体" w:hAnsi="宋体" w:cs="宋体"/>
          <w:sz w:val="24"/>
          <w:szCs w:val="24"/>
        </w:rPr>
        <w:t>月</w:t>
      </w:r>
      <w:r>
        <w:rPr>
          <w:rFonts w:hint="eastAsia" w:ascii="宋体" w:hAnsi="宋体" w:cs="宋体"/>
          <w:b/>
          <w:sz w:val="24"/>
          <w:szCs w:val="24"/>
          <w:u w:val="single"/>
          <w:lang w:val="en-US" w:eastAsia="zh-CN"/>
        </w:rPr>
        <w:t xml:space="preserve"> 20 </w:t>
      </w:r>
      <w:r>
        <w:rPr>
          <w:rFonts w:hint="eastAsia" w:ascii="宋体" w:hAnsi="宋体" w:cs="宋体"/>
          <w:sz w:val="24"/>
          <w:szCs w:val="24"/>
        </w:rPr>
        <w:t>日</w:t>
      </w:r>
      <w:r>
        <w:rPr>
          <w:rFonts w:hint="eastAsia" w:ascii="宋体" w:hAnsi="宋体" w:cs="宋体"/>
          <w:sz w:val="24"/>
        </w:rPr>
        <w:t>，上午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 xml:space="preserve">  500  </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sz w:val="24"/>
          <w:szCs w:val="24"/>
        </w:rPr>
        <w:t>:</w:t>
      </w:r>
      <w:r>
        <w:rPr>
          <w:rFonts w:hint="eastAsia" w:ascii="宋体" w:hAnsi="宋体" w:cs="宋体"/>
          <w:b/>
          <w:sz w:val="24"/>
          <w:szCs w:val="24"/>
          <w:u w:val="single"/>
          <w:lang w:val="en-US" w:eastAsia="zh-CN"/>
        </w:rPr>
        <w:t xml:space="preserve">2024 </w:t>
      </w:r>
      <w:r>
        <w:rPr>
          <w:rFonts w:hint="eastAsia" w:ascii="宋体" w:hAnsi="宋体" w:cs="宋体"/>
          <w:sz w:val="24"/>
          <w:szCs w:val="24"/>
        </w:rPr>
        <w:t>年</w:t>
      </w:r>
      <w:r>
        <w:rPr>
          <w:rFonts w:hint="eastAsia" w:ascii="宋体" w:hAnsi="宋体" w:cs="宋体"/>
          <w:b/>
          <w:sz w:val="24"/>
          <w:szCs w:val="24"/>
          <w:u w:val="single"/>
          <w:lang w:val="en-US" w:eastAsia="zh-CN"/>
        </w:rPr>
        <w:t xml:space="preserve"> 3 </w:t>
      </w:r>
      <w:r>
        <w:rPr>
          <w:rFonts w:hint="eastAsia" w:ascii="宋体" w:hAnsi="宋体" w:cs="宋体"/>
          <w:sz w:val="24"/>
          <w:szCs w:val="24"/>
        </w:rPr>
        <w:t>月</w:t>
      </w:r>
      <w:r>
        <w:rPr>
          <w:rFonts w:hint="eastAsia" w:ascii="宋体" w:hAnsi="宋体" w:cs="宋体"/>
          <w:b/>
          <w:sz w:val="24"/>
          <w:szCs w:val="24"/>
          <w:u w:val="single"/>
          <w:lang w:val="en-US" w:eastAsia="zh-CN"/>
        </w:rPr>
        <w:t xml:space="preserve"> 22 </w:t>
      </w:r>
      <w:r>
        <w:rPr>
          <w:rFonts w:hint="eastAsia" w:ascii="宋体" w:hAnsi="宋体" w:cs="宋体"/>
          <w:sz w:val="24"/>
          <w:szCs w:val="24"/>
        </w:rPr>
        <w:t>日下午</w:t>
      </w:r>
      <w:r>
        <w:rPr>
          <w:rFonts w:hint="eastAsia" w:ascii="宋体" w:hAnsi="宋体" w:cs="宋体"/>
          <w:b/>
          <w:sz w:val="24"/>
          <w:szCs w:val="24"/>
          <w:u w:val="single"/>
          <w:lang w:val="en-US" w:eastAsia="zh-CN"/>
        </w:rPr>
        <w:t xml:space="preserve"> 14：00</w:t>
      </w:r>
      <w:r>
        <w:rPr>
          <w:rFonts w:hint="eastAsia" w:ascii="宋体" w:hAnsi="宋体" w:cs="宋体"/>
          <w:b/>
          <w:sz w:val="28"/>
          <w:szCs w:val="28"/>
          <w:u w:val="single"/>
          <w:lang w:val="en-US" w:eastAsia="zh-CN"/>
        </w:rPr>
        <w:t xml:space="preserve"> </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8"/>
          <w:szCs w:val="28"/>
          <w:u w:val="single"/>
          <w:lang w:val="en-US" w:eastAsia="zh-CN"/>
        </w:rPr>
        <w:t xml:space="preserve"> </w:t>
      </w:r>
      <w:r>
        <w:rPr>
          <w:rFonts w:hint="eastAsia" w:ascii="宋体" w:hAnsi="宋体" w:cs="宋体"/>
          <w:b/>
          <w:sz w:val="24"/>
          <w:szCs w:val="24"/>
          <w:u w:val="single"/>
          <w:lang w:val="en-US" w:eastAsia="zh-CN"/>
        </w:rPr>
        <w:t xml:space="preserve">2024 </w:t>
      </w:r>
      <w:r>
        <w:rPr>
          <w:rFonts w:hint="eastAsia" w:ascii="宋体" w:hAnsi="宋体" w:cs="宋体"/>
          <w:sz w:val="24"/>
          <w:szCs w:val="24"/>
        </w:rPr>
        <w:t>年</w:t>
      </w:r>
      <w:r>
        <w:rPr>
          <w:rFonts w:hint="eastAsia" w:ascii="宋体" w:hAnsi="宋体" w:cs="宋体"/>
          <w:b/>
          <w:sz w:val="24"/>
          <w:szCs w:val="24"/>
          <w:u w:val="single"/>
          <w:lang w:val="en-US" w:eastAsia="zh-CN"/>
        </w:rPr>
        <w:t xml:space="preserve"> 3</w:t>
      </w:r>
      <w:r>
        <w:rPr>
          <w:rFonts w:hint="eastAsia" w:ascii="宋体" w:hAnsi="宋体" w:cs="宋体"/>
          <w:sz w:val="24"/>
          <w:szCs w:val="24"/>
        </w:rPr>
        <w:t>月</w:t>
      </w:r>
      <w:r>
        <w:rPr>
          <w:rFonts w:hint="eastAsia" w:ascii="宋体" w:hAnsi="宋体" w:cs="宋体"/>
          <w:b/>
          <w:sz w:val="24"/>
          <w:szCs w:val="24"/>
          <w:u w:val="single"/>
          <w:lang w:val="en-US" w:eastAsia="zh-CN"/>
        </w:rPr>
        <w:t>21</w:t>
      </w:r>
      <w:r>
        <w:rPr>
          <w:rFonts w:hint="eastAsia" w:ascii="宋体" w:hAnsi="宋体" w:cs="宋体"/>
          <w:sz w:val="24"/>
          <w:szCs w:val="24"/>
        </w:rPr>
        <w:t>日</w:t>
      </w:r>
      <w:r>
        <w:rPr>
          <w:rFonts w:hint="eastAsia" w:ascii="宋体" w:hAnsi="宋体" w:cs="宋体"/>
          <w:sz w:val="24"/>
        </w:rPr>
        <w:t>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w:t>
      </w:r>
      <w:r>
        <w:rPr>
          <w:rFonts w:hint="eastAsia" w:ascii="宋体" w:hAnsi="宋体" w:cs="宋体"/>
          <w:sz w:val="24"/>
          <w:highlight w:val="none"/>
          <w:lang w:eastAsia="zh-CN"/>
        </w:rPr>
        <w:t>常州新禾招投标有限公司</w:t>
      </w:r>
      <w:r>
        <w:rPr>
          <w:rFonts w:hint="eastAsia" w:ascii="宋体" w:hAnsi="宋体" w:cs="宋体"/>
          <w:sz w:val="24"/>
          <w:highlight w:val="none"/>
        </w:rPr>
        <w:t>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cs="宋体"/>
          <w:color w:val="auto"/>
          <w:sz w:val="24"/>
          <w:highlight w:val="none"/>
        </w:rPr>
        <w:t>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sz w:val="24"/>
          <w:lang w:val="en-US" w:eastAsia="zh-CN"/>
        </w:rPr>
        <w:t>常州市新北区天禧桥南路92号</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7"/>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2"/>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w:t>
            </w:r>
            <w:r>
              <w:rPr>
                <w:rFonts w:hint="eastAsia" w:ascii="宋体" w:hAnsi="宋体" w:cs="宋体"/>
                <w:color w:val="auto"/>
                <w:highlight w:val="none"/>
                <w:lang w:eastAsia="zh-CN"/>
              </w:rPr>
              <w:t>常州新禾招投标有限公司</w:t>
            </w:r>
            <w:r>
              <w:rPr>
                <w:rFonts w:hint="eastAsia" w:ascii="宋体" w:hAnsi="宋体" w:cs="宋体"/>
                <w:color w:val="auto"/>
                <w:highlight w:val="none"/>
              </w:rPr>
              <w:t>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7"/>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w:t>
      </w:r>
      <w:r>
        <w:rPr>
          <w:rFonts w:hint="eastAsia" w:ascii="宋体" w:hAnsi="宋体" w:cs="宋体"/>
          <w:sz w:val="24"/>
          <w:highlight w:val="none"/>
          <w:lang w:eastAsia="zh-CN"/>
        </w:rPr>
        <w:t>常州新禾招投标有限公司</w:t>
      </w:r>
      <w:r>
        <w:rPr>
          <w:rFonts w:hint="eastAsia" w:ascii="宋体" w:hAnsi="宋体" w:cs="宋体"/>
          <w:sz w:val="24"/>
          <w:highlight w:val="none"/>
        </w:rPr>
        <w:t>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*6.1谈判供应商应对竞争性谈判文件内所要采购的全部内容进行报价，只投其中部分内容者，其谈判响应文件将被拒绝。一项内容只允许一个报价，采购代理机构不接受任何有选择性的报价或附条件的报价。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6.2本工程的控制价为：人民币</w:t>
      </w:r>
      <w:r>
        <w:rPr>
          <w:rFonts w:hint="eastAsia" w:ascii="宋体" w:hAnsi="宋体" w:cs="宋体"/>
          <w:b/>
          <w:bCs/>
          <w:color w:val="auto"/>
          <w:sz w:val="24"/>
          <w:highlight w:val="none"/>
          <w:u w:val="single"/>
          <w:lang w:val="en-US" w:eastAsia="zh-CN"/>
        </w:rPr>
        <w:t xml:space="preserve"> 柒万伍仟 </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u w:val="single"/>
          <w:lang w:val="en-US" w:eastAsia="zh-CN"/>
        </w:rPr>
        <w:t xml:space="preserve"> 75000 </w:t>
      </w:r>
      <w:r>
        <w:rPr>
          <w:rFonts w:hint="eastAsia" w:ascii="宋体" w:hAnsi="宋体" w:cs="宋体"/>
          <w:b/>
          <w:bCs/>
          <w:color w:val="auto"/>
          <w:sz w:val="24"/>
          <w:highlight w:val="none"/>
          <w:lang w:val="en-US" w:eastAsia="zh-CN"/>
        </w:rPr>
        <w:t>元），谈判供应商的投标总价不得高于控制价，否则作为无效投标处理。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谈判供应商应按《报价表》中的工程量清单计算单价和总价。《报价表》中的每一单项均应计算并填写单价和总价。谈判供应商未填单价或总价的项目，在实施后，采购单位将不予支付，并视为该项费用已包括在其它有价款的单价或总价内。</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谈判供应商自行踏勘现场，对工程现场和周围环境进行现场考查，以获取有关编制响应文件和签署施工合同所需的各项资料。谈判供应商应认真踏勘工程施工现场，熟悉工程施工区域内的情况以及周围环境，了解一切可能影响投标方案及报价的资料，承担考查现场的责任和风险。采购单位在踏勘现场中介绍的工程场地和相关的周边环境情况，供谈判供应商在编制响应文件时参考，采购单位不对谈判供应商据此作出的判断和决策负责。谈判供应商一经中标，不得以不完全了解施工现场及周围环境情况等为借口，提出额外补偿或延长工期的要求。谈判供应商必须承担踏勘现场的安全责任，所产生费用自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*6.5报价规定：</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1）投标报价应该是按竞争性谈判文件规定的招标范围内工程量清单所列项目的全部费用总和，包括分部分项工程费、措施项目费、其他项目费和各类规费、税金等。</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谈判供应商应根据竞争性谈判文件（含工程量清单）的有关要求，现行的建设工程施工质量验收规范、规程等系列标准、施工现场实际情况及拟定的施工方案或施工组织设计、施工质量保证措施，依据企业定额和市场价格信息或参照建设行政主管部门发布的社会平均消耗量定额编制投标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3）谈判供应商的分部分项工程量清单综合单价、措施项目清单金额、其他项目清单金额应详细分析和列出其所含的工程内容，并根据本企业的情况和施工方案进行确定。</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工程量清单中的工程数量是按《建设工程工程量清单计价规范》（GB50500-2013）的工程量计算规则进行计算的，施工中所用的材料、成品、半成品在制作、运输、安装中等发生的一切损耗应包括在报价内。暂估价材料的施工损耗量按定额损耗量计算.</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工程执行最新版《江苏省建设工程费用定额》及相关规定。本工程的安全文明施工费、各项规费、税金的计取费率为不可竞争费率（计算基数详见相关规定），投标报价时不得优惠让利，具体项目及费率取值详见工程量清单：</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工程量清单标明的工程量是谈判供应商投标报价的共同基础，竣工结算的工程量按发、承包双方在合同中约定应予计量且实际完成的工程量确定，完成发包人要求的合同以外的零星工作或发生非承包人责任事件的工程量按现场签证确定。</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7）招标控制价编制时材料价格参照 </w:t>
      </w:r>
      <w:r>
        <w:rPr>
          <w:rFonts w:hint="eastAsia" w:ascii="宋体" w:hAnsi="宋体" w:cs="宋体"/>
          <w:color w:val="auto"/>
          <w:sz w:val="24"/>
          <w:highlight w:val="none"/>
          <w:u w:val="single"/>
          <w:lang w:val="en-US" w:eastAsia="zh-CN"/>
        </w:rPr>
        <w:t>2023</w:t>
      </w:r>
      <w:r>
        <w:rPr>
          <w:rFonts w:hint="eastAsia" w:ascii="宋体" w:hAnsi="宋体" w:cs="宋体"/>
          <w:color w:val="auto"/>
          <w:sz w:val="24"/>
          <w:highlight w:val="none"/>
          <w:lang w:val="en-US"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lang w:val="en-US" w:eastAsia="zh-CN"/>
        </w:rPr>
        <w:t>月的《常州工程造价信息》中常州市指导价格及市场价格，谈判供应商报价时，清单中提供品牌的，根据清单提供的品牌测算材料价格，清单中未定品牌的，谈判供应商应根据清单项目特征描述及设计文件要求确定品牌、规格、型号后，根据市场行情及自身实际情况进行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8）本工程须按常建（2009）187号文“关于进一步提升市区建设工地文明施工管理的通知”的要求执行，谈判供应商须考虑此因素并把由此产生的相关费用计入投标报价中。</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除非采购单位对竞争性谈判文件予以修改，否则谈判供应商应按采购单位提供的工程量清单中列出的工程项目和工程量填报单价和合价。每一项目只允许有一个报价，任何有选择的报价将不予接受。工程量清单计价格式中列明的所有需要填报的单价和合价，谈判供应商均应填报，未填报的单价和合价，视为此项费用已包含在工程量清单的其他单价和合价中。</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*6.6、招标控制价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1)招标控制价为采购单位根据国家或省级、行业建设行政主管部门颁发的有关计价依据和办法，按设计施工图纸计算的，对招标工程限定的最高工程造价。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2)本工程的招标控制价根据下列依据编制：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①《建设工程工程量清单计价规范》(GB50500-2013)；</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②国家或省级、行业建设行政主管部门颁发的计价定额和计价办法；</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③建设工程设计文件及相关资料；</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④竞争性谈判文件中的工程量清单及有关要求；</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Ansi="宋体" w:cs="宋体"/>
        </w:rPr>
      </w:pPr>
      <w:r>
        <w:rPr>
          <w:rFonts w:hint="eastAsia" w:ascii="宋体" w:hAnsi="宋体" w:cs="宋体"/>
          <w:color w:val="auto"/>
          <w:sz w:val="24"/>
          <w:highlight w:val="none"/>
          <w:lang w:val="en-US" w:eastAsia="zh-CN"/>
        </w:rPr>
        <w:t>⑤与建设项目相关的标准、规范、技术资料；</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bookmarkStart w:id="3" w:name="_GoBack"/>
      <w:bookmarkEnd w:id="3"/>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overflowPunct w:val="0"/>
        <w:snapToGrid w:val="0"/>
        <w:spacing w:line="336" w:lineRule="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w:t>
      </w:r>
      <w:r>
        <w:rPr>
          <w:rFonts w:hint="eastAsia" w:hAnsi="宋体" w:cs="宋体"/>
          <w:lang w:eastAsia="zh-CN"/>
        </w:rPr>
        <w:t>常州新禾招投标有限公司</w:t>
      </w:r>
      <w:r>
        <w:rPr>
          <w:rFonts w:hint="eastAsia" w:hAnsi="宋体" w:cs="宋体"/>
        </w:rPr>
        <w:t>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采购代理服务收费标准</w:t>
      </w:r>
    </w:p>
    <w:tbl>
      <w:tblPr>
        <w:tblStyle w:val="22"/>
        <w:tblW w:w="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ind w:firstLine="720" w:firstLineChars="300"/>
              <w:textAlignment w:val="auto"/>
              <w:rPr>
                <w:rFonts w:ascii="宋体" w:hAnsi="宋体"/>
                <w:bCs/>
                <w:color w:val="000000" w:themeColor="text1"/>
                <w:sz w:val="24"/>
              </w:rPr>
            </w:pPr>
            <w:r>
              <w:rPr>
                <w:sz w:val="24"/>
              </w:rPr>
              <w:pict>
                <v:group id="_x0000_s1045" o:spid="_x0000_s1045" o:spt="203" style="position:absolute;left:0pt;margin-left:-4.15pt;margin-top:1.1pt;height:100.8pt;width:160.2pt;z-index:251665408;mso-width-relative:page;mso-height-relative:page;" coordorigin="7429,248330" coordsize="3204,2016">
                  <o:lock v:ext="edit" aspectratio="f"/>
                  <v:line id="_x0000_s1042" o:spid="_x0000_s1042" o:spt="20" style="position:absolute;left:7631;top:248330;height:2017;width:2998;" filled="f" stroked="t" coordsize="21600,21600">
                    <v:path arrowok="t"/>
                    <v:fill on="f" focussize="0,0"/>
                    <v:stroke color="#000000"/>
                    <v:imagedata o:title=""/>
                    <o:lock v:ext="edit" aspectratio="f"/>
                  </v:line>
                  <v:line id="_x0000_s1044" o:spid="_x0000_s1044" o:spt="20" style="position:absolute;left:7429;top:249414;height:927;width:3205;" filled="f" stroked="t" coordsize="21600,21600">
                    <v:path arrowok="t"/>
                    <v:fill on="f" focussize="0,0"/>
                    <v:stroke color="#000000"/>
                    <v:imagedata o:title=""/>
                    <o:lock v:ext="edit" aspectratio="f"/>
                  </v:line>
                </v:group>
              </w:pict>
            </w:r>
            <w:r>
              <w:rPr>
                <w:rFonts w:ascii="宋体" w:hAnsi="宋体"/>
                <w:bCs/>
                <w:color w:val="000000" w:themeColor="text1"/>
                <w:sz w:val="24"/>
              </w:rPr>
              <w:pict>
                <v:line id="直线 25" o:spid="_x0000_s1043" o:spt="20" style="position:absolute;left:0pt;margin-left:-9pt;margin-top:-0.5pt;height:0pt;width:0.05pt;z-index:251664384;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5HTftUAAAAJAQAADwAAAAAAAAABACAAAAAiAAAAZHJzL2Rv&#10;d25yZXYueG1sUEsBAhQAFAAAAAgAh07iQCC4V3nLAQAAigMAAA4AAAAAAAAAAQAgAAAAJAEAAGRy&#10;cy9lMm9Eb2MueG1sUEsFBgAAAAAGAAYAWQEAAGEFAAAAAA==&#10;">
                  <v:path arrowok="t"/>
                  <v:fill focussize="0,0"/>
                  <v:stroke/>
                  <v:imagedata o:title=""/>
                  <o:lock v:ext="edit"/>
                </v:line>
              </w:pict>
            </w:r>
            <w:r>
              <w:rPr>
                <w:rFonts w:hint="eastAsia" w:ascii="宋体" w:hAnsi="宋体"/>
                <w:bCs/>
                <w:color w:val="000000" w:themeColor="text1"/>
                <w:sz w:val="24"/>
              </w:rPr>
              <w:t>服</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rPr>
            </w:pPr>
            <w:r>
              <w:rPr>
                <w:rFonts w:hint="eastAsia" w:ascii="宋体" w:hAnsi="宋体"/>
                <w:bCs/>
                <w:color w:val="000000" w:themeColor="text1"/>
                <w:sz w:val="24"/>
              </w:rPr>
              <w:t>费　　</w:t>
            </w:r>
            <w:r>
              <w:rPr>
                <w:rFonts w:hint="eastAsia" w:ascii="宋体" w:hAnsi="宋体"/>
                <w:bCs/>
                <w:color w:val="000000" w:themeColor="text1"/>
                <w:sz w:val="24"/>
                <w:lang w:val="en-US" w:eastAsia="zh-CN"/>
              </w:rPr>
              <w:t xml:space="preserve">   </w:t>
            </w:r>
            <w:r>
              <w:rPr>
                <w:rFonts w:hint="eastAsia" w:ascii="宋体" w:hAnsi="宋体"/>
                <w:bCs/>
                <w:color w:val="000000" w:themeColor="text1"/>
                <w:sz w:val="24"/>
              </w:rPr>
              <w:t>　务</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rPr>
            </w:pPr>
            <w:r>
              <w:rPr>
                <w:rFonts w:hint="eastAsia" w:ascii="宋体" w:hAnsi="宋体"/>
                <w:bCs/>
                <w:color w:val="000000" w:themeColor="text1"/>
                <w:sz w:val="24"/>
              </w:rPr>
              <w:t xml:space="preserve">　 </w:t>
            </w:r>
            <w:r>
              <w:rPr>
                <w:rFonts w:hint="eastAsia" w:ascii="宋体" w:hAnsi="宋体"/>
                <w:bCs/>
                <w:color w:val="000000" w:themeColor="text1"/>
                <w:sz w:val="24"/>
                <w:lang w:val="en-US" w:eastAsia="zh-CN"/>
              </w:rPr>
              <w:t xml:space="preserve">            </w:t>
            </w:r>
            <w:r>
              <w:rPr>
                <w:rFonts w:hint="eastAsia" w:ascii="宋体" w:hAnsi="宋体"/>
                <w:bCs/>
                <w:color w:val="000000" w:themeColor="text1"/>
                <w:sz w:val="24"/>
              </w:rPr>
              <w:t>类</w:t>
            </w:r>
          </w:p>
          <w:p>
            <w:pPr>
              <w:keepNext w:val="0"/>
              <w:keepLines w:val="0"/>
              <w:pageBreakBefore w:val="0"/>
              <w:widowControl w:val="0"/>
              <w:kinsoku/>
              <w:wordWrap/>
              <w:overflowPunct/>
              <w:topLinePunct w:val="0"/>
              <w:autoSpaceDE/>
              <w:autoSpaceDN/>
              <w:bidi w:val="0"/>
              <w:adjustRightInd w:val="0"/>
              <w:snapToGrid w:val="0"/>
              <w:spacing w:line="312" w:lineRule="auto"/>
              <w:ind w:firstLine="1440" w:firstLineChars="600"/>
              <w:textAlignment w:val="auto"/>
              <w:rPr>
                <w:rFonts w:hint="eastAsia" w:ascii="宋体" w:hAnsi="宋体"/>
                <w:bCs/>
                <w:color w:val="000000" w:themeColor="text1"/>
                <w:sz w:val="24"/>
              </w:rPr>
            </w:pPr>
            <w:r>
              <w:rPr>
                <w:rFonts w:hint="eastAsia" w:ascii="宋体" w:hAnsi="宋体"/>
                <w:bCs/>
                <w:color w:val="000000" w:themeColor="text1"/>
                <w:sz w:val="24"/>
              </w:rPr>
              <w:t>率</w:t>
            </w:r>
            <w:r>
              <w:rPr>
                <w:rFonts w:hint="eastAsia" w:ascii="宋体" w:hAnsi="宋体"/>
                <w:bCs/>
                <w:color w:val="000000" w:themeColor="text1"/>
                <w:sz w:val="24"/>
                <w:lang w:val="en-US" w:eastAsia="zh-CN"/>
              </w:rPr>
              <w:t xml:space="preserve"> </w:t>
            </w:r>
            <w:r>
              <w:rPr>
                <w:rFonts w:hint="eastAsia" w:ascii="宋体" w:hAnsi="宋体"/>
                <w:bCs/>
                <w:color w:val="000000" w:themeColor="text1"/>
                <w:sz w:val="24"/>
              </w:rPr>
              <w:t xml:space="preserve">　 </w:t>
            </w:r>
            <w:r>
              <w:rPr>
                <w:rFonts w:hint="eastAsia" w:ascii="宋体" w:hAnsi="宋体"/>
                <w:bCs/>
                <w:color w:val="000000" w:themeColor="text1"/>
                <w:sz w:val="24"/>
                <w:lang w:val="en-US" w:eastAsia="zh-CN"/>
              </w:rPr>
              <w:t xml:space="preserve"> </w:t>
            </w:r>
            <w:r>
              <w:rPr>
                <w:rFonts w:hint="eastAsia" w:ascii="宋体" w:hAnsi="宋体"/>
                <w:bCs/>
                <w:color w:val="000000" w:themeColor="text1"/>
                <w:sz w:val="24"/>
              </w:rPr>
              <w:t>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rPr>
            </w:pPr>
            <w:r>
              <w:rPr>
                <w:rFonts w:hint="eastAsia" w:ascii="宋体" w:hAnsi="宋体"/>
                <w:bCs/>
                <w:color w:val="000000" w:themeColor="text1"/>
                <w:sz w:val="24"/>
              </w:rPr>
              <w:t>中标金额（万元）</w:t>
            </w:r>
          </w:p>
        </w:tc>
        <w:tc>
          <w:tcPr>
            <w:tcW w:w="2626" w:type="dxa"/>
            <w:noWrap/>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bCs/>
                <w:color w:val="000000" w:themeColor="text1"/>
                <w:sz w:val="24"/>
              </w:rPr>
            </w:pPr>
            <w:r>
              <w:rPr>
                <w:rFonts w:hint="eastAsia" w:ascii="宋体" w:hAnsi="宋体"/>
                <w:bCs/>
                <w:color w:val="000000" w:themeColor="text1"/>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100以下</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100-500</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500-1000</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1000-5000</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5000-10000</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w:t>
            </w:r>
          </w:p>
        </w:tc>
      </w:tr>
    </w:tbl>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w:t>
      </w:r>
      <w:r>
        <w:rPr>
          <w:rFonts w:hint="eastAsia" w:hAnsi="宋体" w:cs="宋体"/>
          <w:szCs w:val="24"/>
          <w:lang w:eastAsia="zh-CN"/>
        </w:rPr>
        <w:t>常州新禾招投标有限公司</w:t>
      </w:r>
      <w:r>
        <w:rPr>
          <w:rFonts w:hint="eastAsia" w:hAnsi="宋体" w:cs="宋体"/>
          <w:szCs w:val="24"/>
        </w:rPr>
        <w:t>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6"/>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lang w:val="en-US" w:eastAsia="zh-CN"/>
        </w:rPr>
        <w:t>奔牛人民医院长廊改造项目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人民币7.5万元</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人民币7.5万元</w:t>
      </w:r>
    </w:p>
    <w:p>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eastAsia="zh-CN"/>
        </w:rPr>
        <w:t>工程量清单：</w:t>
      </w:r>
    </w:p>
    <w:tbl>
      <w:tblPr>
        <w:tblStyle w:val="22"/>
        <w:tblpPr w:leftFromText="180" w:rightFromText="180" w:vertAnchor="page" w:horzAnchor="page" w:tblpX="2071" w:tblpY="4242"/>
        <w:tblOverlap w:val="never"/>
        <w:tblW w:w="82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4360"/>
        <w:gridCol w:w="927"/>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钢支架【热镀锌方管制作、安装、运输;】</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龙骨钢骨架制作</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Ⅲ类金属构件 运输距离5km内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钢骨架安装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预埋铁件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铁件安装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铁件制作</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螺栓【M12螺栓;】</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M12螺栓</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型材屋面【屋面安装1.5厚透明耐力板;-2*20铝合金压条;】</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1.5厚透明耐力板屋面</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10m2</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水泥砂浆楼地面【10cmC30混凝土垫层】</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C30非泵送预拌砼垫层不分格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bl>
    <w:p>
      <w:pPr>
        <w:pStyle w:val="5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color w:val="auto"/>
          <w:sz w:val="24"/>
          <w:highlight w:val="none"/>
          <w:shd w:val="clear" w:color="auto" w:fill="FFFFFF"/>
          <w:lang w:eastAsia="zh-CN"/>
        </w:rPr>
      </w:pPr>
      <w:r>
        <w:rPr>
          <w:rFonts w:hint="eastAsia" w:ascii="宋体" w:hAnsi="宋体" w:cs="宋体"/>
          <w:b/>
          <w:color w:val="auto"/>
          <w:sz w:val="24"/>
          <w:highlight w:val="none"/>
          <w:shd w:val="clear" w:color="auto" w:fill="FFFFFF"/>
        </w:rPr>
        <w:t>服务要求</w:t>
      </w:r>
      <w:r>
        <w:rPr>
          <w:rFonts w:hint="eastAsia" w:ascii="宋体" w:hAnsi="宋体" w:cs="宋体"/>
          <w:b/>
          <w:color w:val="auto"/>
          <w:sz w:val="24"/>
          <w:highlight w:val="none"/>
          <w:shd w:val="clear" w:color="auto" w:fill="FFFFFF"/>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Chars="0"/>
        <w:jc w:val="left"/>
        <w:textAlignment w:val="auto"/>
        <w:outlineLvl w:val="9"/>
        <w:rPr>
          <w:rFonts w:ascii="宋体" w:hAnsi="宋体" w:eastAsia="宋体" w:cs="宋体"/>
          <w:sz w:val="24"/>
          <w:szCs w:val="24"/>
        </w:rPr>
      </w:pPr>
      <w:r>
        <w:rPr>
          <w:rFonts w:ascii="宋体" w:hAnsi="宋体" w:eastAsia="宋体" w:cs="宋体"/>
          <w:sz w:val="24"/>
          <w:szCs w:val="24"/>
        </w:rPr>
        <w:t xml:space="preserve">投标人须严格按照“劳动法”和相关法律法规的要求合法用工，自行处理劳务纠纷和劳务补偿等事宜。  </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ascii="宋体" w:hAnsi="宋体" w:eastAsia="宋体" w:cs="宋体"/>
          <w:sz w:val="24"/>
          <w:szCs w:val="24"/>
        </w:rPr>
      </w:pPr>
      <w:r>
        <w:rPr>
          <w:rFonts w:ascii="宋体" w:hAnsi="宋体" w:eastAsia="宋体" w:cs="宋体"/>
          <w:sz w:val="24"/>
          <w:szCs w:val="24"/>
        </w:rPr>
        <w:t>需配备相应的施工设备、工具</w:t>
      </w:r>
      <w:r>
        <w:rPr>
          <w:rFonts w:hint="eastAsia" w:ascii="宋体" w:hAnsi="宋体" w:eastAsia="宋体" w:cs="宋体"/>
          <w:sz w:val="24"/>
          <w:szCs w:val="24"/>
          <w:lang w:eastAsia="zh-CN"/>
        </w:rPr>
        <w:t>。</w:t>
      </w:r>
      <w:r>
        <w:rPr>
          <w:rFonts w:ascii="宋体" w:hAnsi="宋体" w:eastAsia="宋体" w:cs="宋体"/>
          <w:sz w:val="24"/>
          <w:szCs w:val="24"/>
        </w:rPr>
        <w:t xml:space="preserve"> </w:t>
      </w:r>
      <w:r>
        <w:rPr>
          <w:rFonts w:hint="eastAsia" w:ascii="宋体" w:hAnsi="宋体" w:eastAsia="宋体" w:cs="宋体"/>
          <w:sz w:val="24"/>
          <w:szCs w:val="24"/>
          <w:lang w:val="en-US" w:eastAsia="zh-CN"/>
        </w:rPr>
        <w:t>施工现</w:t>
      </w:r>
      <w:r>
        <w:rPr>
          <w:rFonts w:ascii="宋体" w:hAnsi="宋体" w:eastAsia="宋体" w:cs="宋体"/>
          <w:sz w:val="24"/>
          <w:szCs w:val="24"/>
        </w:rPr>
        <w:t>场应做到施工组织有序，现场维修材料堆放整齐，余料应回收，按指定地点堆 放，做到工完料尽场地清。</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ascii="宋体" w:hAnsi="宋体" w:eastAsia="宋体" w:cs="宋体"/>
          <w:sz w:val="24"/>
          <w:szCs w:val="24"/>
        </w:rPr>
        <w:t xml:space="preserve"> 投标人需对</w:t>
      </w:r>
      <w:r>
        <w:rPr>
          <w:rFonts w:hint="eastAsia" w:ascii="宋体" w:hAnsi="宋体" w:eastAsia="宋体" w:cs="宋体"/>
          <w:sz w:val="24"/>
          <w:szCs w:val="24"/>
          <w:lang w:val="en-US" w:eastAsia="zh-CN"/>
        </w:rPr>
        <w:t>施工</w:t>
      </w:r>
      <w:r>
        <w:rPr>
          <w:rFonts w:ascii="宋体" w:hAnsi="宋体" w:eastAsia="宋体" w:cs="宋体"/>
          <w:sz w:val="24"/>
          <w:szCs w:val="24"/>
        </w:rPr>
        <w:t xml:space="preserve">材料的材质及性能详 细的检査，对材料质量和尺寸按检验标准进行检验，必须出具各种材料生产厂家的产品 合格证及质量保证书，关键性的材料除出具上述证明外，还需附有使用年限，如招标人 发现所用材料不符合要求，则投标人无条件更换。因材料不合格导致的工时费由投标人 承担。 </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ascii="宋体" w:hAnsi="宋体" w:eastAsia="宋体" w:cs="宋体"/>
          <w:sz w:val="24"/>
          <w:szCs w:val="24"/>
        </w:rPr>
        <w:t xml:space="preserve">投标人必须严格遵守安全规程，加强安全纪律，施工时必须佩戴安全帽，高空作业 时须系安全带，保证安全用电，做好防火工作等。对专职安全员监督制定奖罚措施，落 实安全生产责任制。一旦发生安全事故，必须逐级进行汇报，不得隐瞒。 </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ascii="宋体" w:hAnsi="宋体" w:eastAsia="宋体" w:cs="宋体"/>
          <w:sz w:val="24"/>
          <w:szCs w:val="24"/>
        </w:rPr>
        <w:t xml:space="preserve">投标人必须建立安装施工标志牌，说明项目内容，项目负责人，质量和安全目标等。 建立施工现场保卫制度，设专人负责安装现场保卫工作，并配合现场指挥部的现场保卫部门工作。 </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ascii="宋体" w:hAnsi="宋体" w:eastAsia="宋体" w:cs="宋体"/>
          <w:sz w:val="24"/>
          <w:szCs w:val="24"/>
        </w:rPr>
        <w:t>服务方承担的“</w:t>
      </w:r>
      <w:r>
        <w:rPr>
          <w:rFonts w:hint="eastAsia" w:ascii="宋体" w:hAnsi="宋体" w:cs="宋体"/>
          <w:b w:val="0"/>
          <w:bCs w:val="0"/>
          <w:color w:val="auto"/>
          <w:sz w:val="24"/>
          <w:highlight w:val="none"/>
          <w:lang w:val="en-US" w:eastAsia="zh-CN"/>
        </w:rPr>
        <w:t>奔牛人民医院长廊改造项目</w:t>
      </w:r>
      <w:r>
        <w:rPr>
          <w:rFonts w:ascii="宋体" w:hAnsi="宋体" w:eastAsia="宋体" w:cs="宋体"/>
          <w:sz w:val="24"/>
          <w:szCs w:val="24"/>
        </w:rPr>
        <w:t>”在全部施工中严格执行国家和企业的相关施工规范 和技术标准，施工过程的相关资料，施工质量验收按国家规定的质量验收评定标准进行 验收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w:t>
      </w:r>
      <w:r>
        <w:rPr>
          <w:rFonts w:hint="eastAsia" w:ascii="宋体" w:hAnsi="宋体" w:cs="宋体"/>
          <w:b/>
          <w:color w:val="auto"/>
          <w:sz w:val="24"/>
          <w:highlight w:val="none"/>
          <w:lang w:eastAsia="zh-CN"/>
        </w:rPr>
        <w:t>工期</w:t>
      </w:r>
      <w:r>
        <w:rPr>
          <w:rFonts w:hint="eastAsia" w:ascii="宋体" w:hAnsi="宋体" w:cs="宋体"/>
          <w:b/>
          <w:color w:val="auto"/>
          <w:sz w:val="24"/>
          <w:highlight w:val="none"/>
        </w:rPr>
        <w:t>：</w:t>
      </w:r>
      <w:r>
        <w:rPr>
          <w:rFonts w:hint="eastAsia" w:ascii="宋体" w:hAnsi="宋体" w:eastAsia="宋体" w:cs="宋体"/>
          <w:i w:val="0"/>
          <w:iCs w:val="0"/>
          <w:caps w:val="0"/>
          <w:color w:val="000000"/>
          <w:spacing w:val="0"/>
          <w:sz w:val="24"/>
          <w:szCs w:val="24"/>
        </w:rPr>
        <w:t>施工工期为</w:t>
      </w:r>
      <w:r>
        <w:rPr>
          <w:rFonts w:hint="eastAsia" w:ascii="宋体" w:hAnsi="宋体" w:eastAsia="宋体" w:cs="宋体"/>
          <w:i w:val="0"/>
          <w:iCs w:val="0"/>
          <w:caps w:val="0"/>
          <w:color w:val="000000"/>
          <w:spacing w:val="0"/>
          <w:sz w:val="24"/>
          <w:szCs w:val="24"/>
          <w:lang w:val="en-US" w:eastAsia="zh-CN"/>
        </w:rPr>
        <w:t>20个</w:t>
      </w:r>
      <w:r>
        <w:rPr>
          <w:rFonts w:hint="eastAsia" w:ascii="宋体" w:hAnsi="宋体" w:eastAsia="宋体" w:cs="宋体"/>
          <w:i w:val="0"/>
          <w:iCs w:val="0"/>
          <w:caps w:val="0"/>
          <w:color w:val="000000"/>
          <w:spacing w:val="0"/>
          <w:sz w:val="24"/>
          <w:szCs w:val="24"/>
        </w:rPr>
        <w:t>日历</w:t>
      </w:r>
      <w:r>
        <w:rPr>
          <w:rFonts w:hint="eastAsia" w:ascii="宋体" w:hAnsi="宋体" w:eastAsia="宋体" w:cs="宋体"/>
          <w:i w:val="0"/>
          <w:iCs w:val="0"/>
          <w:caps w:val="0"/>
          <w:color w:val="000000"/>
          <w:spacing w:val="0"/>
          <w:sz w:val="24"/>
          <w:szCs w:val="24"/>
          <w:lang w:val="en-US" w:eastAsia="zh-CN"/>
        </w:rPr>
        <w:t>日</w:t>
      </w:r>
      <w:r>
        <w:rPr>
          <w:rFonts w:hint="eastAsia" w:ascii="宋体" w:hAnsi="宋体" w:eastAsia="宋体" w:cs="宋体"/>
          <w:i w:val="0"/>
          <w:iCs w:val="0"/>
          <w:caps w:val="0"/>
          <w:color w:val="000000"/>
          <w:spacing w:val="0"/>
          <w:sz w:val="24"/>
          <w:szCs w:val="24"/>
        </w:rPr>
        <w:t>，同时施工工期必须严格服从采购方的安排，满足工程进度的要求。若遇不可抗力原因，可经采购方同意后延期。</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bCs w:val="0"/>
          <w:color w:val="auto"/>
          <w:sz w:val="24"/>
          <w:highlight w:val="none"/>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、付款及结算方式：</w:t>
      </w:r>
      <w:r>
        <w:rPr>
          <w:rFonts w:hint="eastAsia" w:ascii="宋体" w:hAnsi="宋体" w:cs="宋体"/>
          <w:b w:val="0"/>
          <w:bCs/>
          <w:color w:val="auto"/>
          <w:sz w:val="24"/>
          <w:highlight w:val="none"/>
        </w:rPr>
        <w:t>经采购人验收合格后支付合同价的60%，经审计后付至审定价的95%，余款质保期满后一次性付清，质保期一年。</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、其他要求：</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color w:val="auto"/>
          <w:sz w:val="24"/>
          <w:highlight w:val="none"/>
          <w:lang w:val="en-US" w:eastAsia="zh-CN"/>
        </w:rPr>
        <w:t>1、</w:t>
      </w:r>
      <w:r>
        <w:rPr>
          <w:rFonts w:ascii="宋体" w:hAnsi="宋体" w:eastAsia="宋体" w:cs="宋体"/>
          <w:sz w:val="24"/>
          <w:szCs w:val="24"/>
        </w:rPr>
        <w:t xml:space="preserve">工程施工期间涉及安全由成交供应商全部负责，涉及安全所产生的相关费用一律由成交供应商承担；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2、</w:t>
      </w:r>
      <w:r>
        <w:rPr>
          <w:rFonts w:ascii="宋体" w:hAnsi="宋体" w:eastAsia="宋体" w:cs="宋体"/>
          <w:sz w:val="24"/>
          <w:szCs w:val="24"/>
        </w:rPr>
        <w:t>质量必须达到合格，凡因成交供应商责任，经验收达不到合格要求，必须返工到合格并承担 因返工引起的一切经济损失。</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3、</w:t>
      </w:r>
      <w:r>
        <w:rPr>
          <w:rFonts w:ascii="宋体" w:hAnsi="宋体" w:eastAsia="宋体" w:cs="宋体"/>
          <w:sz w:val="24"/>
          <w:szCs w:val="24"/>
        </w:rPr>
        <w:t xml:space="preserve">成交供应商应当办理有关施工现场交通、环卫、施工噪声等管理手续，若发生费用由成交供 应商负责。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4、</w:t>
      </w:r>
      <w:r>
        <w:rPr>
          <w:rFonts w:ascii="宋体" w:hAnsi="宋体" w:eastAsia="宋体" w:cs="宋体"/>
          <w:sz w:val="24"/>
          <w:szCs w:val="24"/>
        </w:rPr>
        <w:t xml:space="preserve">工程未交付之前，成交供应商应自始至终对成品进行保护和防止丢失。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5</w:t>
      </w:r>
      <w:r>
        <w:rPr>
          <w:rFonts w:ascii="宋体" w:hAnsi="宋体" w:eastAsia="宋体" w:cs="宋体"/>
          <w:b/>
          <w:bCs/>
          <w:sz w:val="24"/>
          <w:szCs w:val="24"/>
        </w:rPr>
        <w:t>.</w:t>
      </w:r>
      <w:r>
        <w:rPr>
          <w:rFonts w:hint="eastAsia" w:ascii="宋体" w:hAnsi="宋体" w:eastAsia="宋体" w:cs="宋体"/>
          <w:b/>
          <w:bCs/>
          <w:sz w:val="24"/>
          <w:szCs w:val="24"/>
          <w:lang w:eastAsia="zh-CN"/>
        </w:rPr>
        <w:t>、</w:t>
      </w:r>
      <w:r>
        <w:rPr>
          <w:rFonts w:ascii="宋体" w:hAnsi="宋体" w:eastAsia="宋体" w:cs="宋体"/>
          <w:sz w:val="24"/>
          <w:szCs w:val="24"/>
        </w:rPr>
        <w:t>施工人员应服从采购人安全管理。</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6、</w:t>
      </w:r>
      <w:r>
        <w:rPr>
          <w:rFonts w:ascii="宋体" w:hAnsi="宋体" w:eastAsia="宋体" w:cs="宋体"/>
          <w:sz w:val="24"/>
          <w:szCs w:val="24"/>
        </w:rPr>
        <w:t xml:space="preserve">在免费质保期内，如属于自身的质量问题，成交供应商应当免费提供需要更换的备件，在质 保期结束后，成交供应商以其同时期现场所在区域最低的价格向采购人提供正常运行及维修所需的 任何备品备件。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、报价要求：</w:t>
      </w:r>
      <w:r>
        <w:rPr>
          <w:rFonts w:ascii="宋体" w:hAnsi="宋体" w:eastAsia="宋体" w:cs="宋体"/>
          <w:sz w:val="24"/>
          <w:szCs w:val="24"/>
        </w:rPr>
        <w:t>本项目报价为工程量清单报价，合同方式为固定单价合同，</w:t>
      </w:r>
      <w:r>
        <w:rPr>
          <w:rFonts w:hint="eastAsia" w:ascii="宋体" w:hAnsi="宋体" w:eastAsia="宋体" w:cs="宋体"/>
          <w:sz w:val="24"/>
          <w:szCs w:val="24"/>
          <w:lang w:val="en-US" w:eastAsia="zh-CN"/>
        </w:rPr>
        <w:t>谈判</w:t>
      </w:r>
      <w:r>
        <w:rPr>
          <w:rFonts w:ascii="宋体" w:hAnsi="宋体" w:eastAsia="宋体" w:cs="宋体"/>
          <w:sz w:val="24"/>
          <w:szCs w:val="24"/>
        </w:rPr>
        <w:t>价格应包括竞争性</w:t>
      </w:r>
      <w:r>
        <w:rPr>
          <w:rFonts w:hint="eastAsia" w:ascii="宋体" w:hAnsi="宋体" w:eastAsia="宋体" w:cs="宋体"/>
          <w:sz w:val="24"/>
          <w:szCs w:val="24"/>
          <w:lang w:val="en-US" w:eastAsia="zh-CN"/>
        </w:rPr>
        <w:t>谈判</w:t>
      </w:r>
      <w:r>
        <w:rPr>
          <w:rFonts w:ascii="宋体" w:hAnsi="宋体" w:eastAsia="宋体" w:cs="宋体"/>
          <w:sz w:val="24"/>
          <w:szCs w:val="24"/>
        </w:rPr>
        <w:t>文件所确定的采购范围相应服务的提供、人员（包括工资和补贴）、办公场所及设施、保险、 劳保、管理、各种税费、利润、税金、政策性文件规定及合同包含的所有风险、责任：包括不限于 工作人员意外伤害保险、安全防护、文明施工、扬尘控制费用等各项应有费用，以及为完成该项服 务项目所涉及到的一切相关费用，采购人不再支付其他任何费用。供应商需充分考虑与外部单位协 调、配合、审批手续的费用；消防临时水、电、道路的占用、仓储用地、用房、垃圾清运、成品保 护及供应商在合同实施过程中可能需要其他单位提供的配合的费用等；采购人对此类费用在项目实施和结算时不再进行调整</w:t>
      </w:r>
      <w:r>
        <w:rPr>
          <w:rFonts w:hint="eastAsia" w:ascii="宋体" w:hAnsi="宋体" w:cs="宋体"/>
          <w:sz w:val="24"/>
          <w:szCs w:val="24"/>
          <w:lang w:eastAsia="zh-CN"/>
        </w:rPr>
        <w:t>。</w:t>
      </w: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）工程量清单报价表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20"/>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2"/>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1"/>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2"/>
        <w:tblW w:w="4729" w:type="dxa"/>
        <w:tblInd w:w="0" w:type="dxa"/>
        <w:tblLayout w:type="fixed"/>
        <w:tblCellMar>
          <w:top w:w="0" w:type="dxa"/>
          <w:left w:w="108" w:type="dxa"/>
          <w:bottom w:w="0" w:type="dxa"/>
          <w:right w:w="108" w:type="dxa"/>
        </w:tblCellMar>
      </w:tblPr>
      <w:tblGrid>
        <w:gridCol w:w="4729"/>
      </w:tblGrid>
      <w:tr>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w:pict>
          <v:shape id="_x0000_s1037" o:spid="_x0000_s1037" o:spt="202" type="#_x0000_t202" style="position:absolute;left:0pt;margin-left:224.9pt;margin-top:15.25pt;height:76.95pt;width:46.95pt;z-index:251661312;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1"/>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w:pict>
          <v:shape id="文本框 1" o:spid="_x0000_s1038" o:spt="202" type="#_x0000_t202" style="position:absolute;left:0pt;margin-left:211.3pt;margin-top:15.1pt;height:76.95pt;width:46.95pt;z-index:251662336;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6"/>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6"/>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6"/>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w:t>
      </w:r>
      <w:r>
        <w:rPr>
          <w:rFonts w:hint="eastAsia" w:ascii="宋体" w:hAnsi="宋体" w:cs="宋体"/>
          <w:color w:val="auto"/>
          <w:kern w:val="0"/>
          <w:sz w:val="24"/>
          <w:szCs w:val="24"/>
          <w:lang w:eastAsia="zh-CN"/>
        </w:rPr>
        <w:t>常州新禾招投标有限公司</w:t>
      </w:r>
    </w:p>
    <w:p>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lang w:eastAsia="zh-CN"/>
        </w:rPr>
        <w:t>贵单位</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谈判文件</w:t>
      </w:r>
      <w:r>
        <w:rPr>
          <w:rFonts w:hint="eastAsia" w:ascii="宋体" w:hAnsi="宋体" w:eastAsia="宋体" w:cs="宋体"/>
          <w:color w:val="auto"/>
          <w:sz w:val="24"/>
          <w:szCs w:val="24"/>
        </w:rPr>
        <w:t>，经仔细阅读和研究，我们决定参加该项目的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，承诺</w:t>
      </w:r>
      <w:r>
        <w:rPr>
          <w:rFonts w:hint="eastAsia" w:ascii="宋体" w:hAnsi="宋体" w:eastAsia="宋体" w:cs="宋体"/>
          <w:color w:val="auto"/>
          <w:kern w:val="0"/>
          <w:sz w:val="24"/>
          <w:szCs w:val="24"/>
        </w:rPr>
        <w:t>如下：</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1.按采购文件规定的各项要求，完成采购文件规定的全部内容。</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2.如果我们的响应文件被接受，愿按《中华人民共和国</w:t>
      </w:r>
      <w:r>
        <w:rPr>
          <w:rFonts w:hint="eastAsia" w:hAnsi="宋体" w:eastAsia="宋体" w:cs="宋体"/>
          <w:color w:val="auto"/>
          <w:sz w:val="24"/>
          <w:szCs w:val="24"/>
          <w:lang w:eastAsia="zh-CN"/>
        </w:rPr>
        <w:t>民法典</w:t>
      </w:r>
      <w:r>
        <w:rPr>
          <w:rFonts w:hint="eastAsia" w:ascii="宋体" w:hAnsi="宋体" w:eastAsia="宋体" w:cs="宋体"/>
          <w:color w:val="auto"/>
          <w:sz w:val="24"/>
          <w:szCs w:val="24"/>
        </w:rPr>
        <w:t>》履行自己的全部责任，同时严格履行采购文件中规定的每一项要求，按期、按质、按量履行合同的义务。</w:t>
      </w:r>
    </w:p>
    <w:p>
      <w:pPr>
        <w:pStyle w:val="61"/>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3.我们已详细审查全部采购文件，包括补充文件(如果有的话)。我们完全理解并同意采购文件的所有规定，并放弃对这方面有不明及误解的权利。</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4.我们承诺该响应文件在投标开始后的全过程中保持有效，不作任何更改和变动。并同意按采购文件中的规定，本响应文件的有效期限为投标开始后</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5.我们愿意提供采购文件中要求所有资料，并保证完全真实准确，若有虚假和违背，我公司愿意承担由此而产生的一切后果。</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6.我方承诺财务状况良好，依法缴纳税收和社会保障资金，具备履行合同所必需的设备和专业技术能力，参加招标活动前3年内在经营活动中没有重大违法记录。</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7.我们认为你们有权决定中标人，还认为你们有权接受或拒绝所有的供应商。</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8.我们愿意遵守采购文件中所列的收费标准。</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9.如果我们中标，我们愿意在签订合同时支付履约保证金，并按采购文件的规定支付中标服务费。</w:t>
      </w:r>
    </w:p>
    <w:p>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10.经我单位研究采购文件后，愿以人民币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元（小写：元）报价，按采购文件要求承包本次招标范围内的全部工程。</w:t>
      </w:r>
    </w:p>
    <w:p>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11.我单位保证在收到建设单位发出的书面开工后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日内开工，并在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日（日历日）内竣工。</w:t>
      </w:r>
    </w:p>
    <w:p>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12.我单位保证本工程质量达到: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p>
    <w:p>
      <w:pPr>
        <w:pStyle w:val="46"/>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13.我单位一旦中标，将实行项目负责人负责制，保证并配备（项目建造师）全面负责上述项目管理。</w:t>
      </w:r>
    </w:p>
    <w:p>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邮编：</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color w:val="auto"/>
          <w:szCs w:val="24"/>
          <w:highlight w:val="none"/>
        </w:rPr>
      </w:pPr>
      <w:r>
        <w:rPr>
          <w:rFonts w:hint="eastAsia" w:ascii="宋体" w:hAnsi="宋体" w:cs="宋体"/>
          <w:b/>
          <w:color w:val="auto"/>
          <w:sz w:val="32"/>
          <w:szCs w:val="32"/>
          <w:highlight w:val="none"/>
        </w:rPr>
        <w:t>报价一览表</w:t>
      </w: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2"/>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5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422"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项目名称</w:t>
            </w:r>
          </w:p>
        </w:tc>
        <w:tc>
          <w:tcPr>
            <w:tcW w:w="5717" w:type="dxa"/>
            <w:noWrap/>
          </w:tcPr>
          <w:p>
            <w:pPr>
              <w:widowControl/>
              <w:spacing w:line="480" w:lineRule="auto"/>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422"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项目编号</w:t>
            </w:r>
          </w:p>
        </w:tc>
        <w:tc>
          <w:tcPr>
            <w:tcW w:w="5717" w:type="dxa"/>
            <w:noWrap/>
          </w:tcPr>
          <w:p>
            <w:pPr>
              <w:widowControl/>
              <w:spacing w:line="480" w:lineRule="auto"/>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4422"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总价（元）</w:t>
            </w:r>
          </w:p>
        </w:tc>
        <w:tc>
          <w:tcPr>
            <w:tcW w:w="5717" w:type="dxa"/>
            <w:noWrap/>
          </w:tcPr>
          <w:p>
            <w:pPr>
              <w:widowControl/>
              <w:spacing w:line="480" w:lineRule="auto"/>
              <w:jc w:val="center"/>
              <w:rPr>
                <w:rFonts w:hint="eastAsia" w:ascii="宋体" w:hAnsi="宋体" w:eastAsia="宋体" w:cs="宋体"/>
                <w:color w:val="auto"/>
                <w:sz w:val="24"/>
              </w:rPr>
            </w:pPr>
          </w:p>
        </w:tc>
      </w:tr>
    </w:tbl>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spacing w:line="360" w:lineRule="auto"/>
        <w:jc w:val="center"/>
        <w:rPr>
          <w:rFonts w:ascii="宋体" w:hAnsi="宋体"/>
          <w:b/>
          <w:color w:val="000000" w:themeColor="text1"/>
          <w:sz w:val="32"/>
          <w:szCs w:val="32"/>
        </w:rPr>
      </w:pPr>
      <w:r>
        <w:rPr>
          <w:rFonts w:hint="eastAsia" w:ascii="宋体" w:hAnsi="宋体" w:eastAsia="宋体" w:cs="宋体"/>
          <w:b/>
          <w:color w:val="auto"/>
          <w:sz w:val="32"/>
        </w:rPr>
        <w:t>工程量清单报价表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1"/>
        <w:gridCol w:w="1337"/>
        <w:gridCol w:w="1636"/>
        <w:gridCol w:w="859"/>
        <w:gridCol w:w="941"/>
        <w:gridCol w:w="1091"/>
        <w:gridCol w:w="1077"/>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74"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序号</w:t>
            </w:r>
          </w:p>
        </w:tc>
        <w:tc>
          <w:tcPr>
            <w:tcW w:w="1261"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项目内容</w:t>
            </w:r>
          </w:p>
        </w:tc>
        <w:tc>
          <w:tcPr>
            <w:tcW w:w="1337"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品牌</w:t>
            </w:r>
          </w:p>
        </w:tc>
        <w:tc>
          <w:tcPr>
            <w:tcW w:w="1636"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规格、型号</w:t>
            </w:r>
          </w:p>
        </w:tc>
        <w:tc>
          <w:tcPr>
            <w:tcW w:w="859"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单位</w:t>
            </w:r>
          </w:p>
        </w:tc>
        <w:tc>
          <w:tcPr>
            <w:tcW w:w="941" w:type="dxa"/>
            <w:noWrap/>
            <w:vAlign w:val="center"/>
          </w:tcPr>
          <w:p>
            <w:pPr>
              <w:widowControl/>
              <w:jc w:val="center"/>
              <w:textAlignment w:val="center"/>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工程量</w:t>
            </w:r>
          </w:p>
        </w:tc>
        <w:tc>
          <w:tcPr>
            <w:tcW w:w="1091"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单价</w:t>
            </w:r>
          </w:p>
        </w:tc>
        <w:tc>
          <w:tcPr>
            <w:tcW w:w="1077" w:type="dxa"/>
            <w:noWrap/>
            <w:vAlign w:val="center"/>
          </w:tcPr>
          <w:p>
            <w:pPr>
              <w:widowControl/>
              <w:jc w:val="center"/>
              <w:textAlignment w:val="center"/>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小计</w:t>
            </w: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gridSpan w:val="2"/>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合计</w:t>
            </w:r>
          </w:p>
        </w:tc>
        <w:tc>
          <w:tcPr>
            <w:tcW w:w="7927" w:type="dxa"/>
            <w:gridSpan w:val="7"/>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大写：元整；小写：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pStyle w:val="20"/>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5"/>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Style w:val="10"/>
        <w:adjustRightInd w:val="0"/>
        <w:snapToGrid w:val="0"/>
        <w:spacing w:line="300" w:lineRule="auto"/>
        <w:jc w:val="center"/>
        <w:rPr>
          <w:rFonts w:hAnsi="宋体" w:cs="宋体"/>
          <w:color w:val="000000" w:themeColor="text1"/>
          <w:sz w:val="22"/>
        </w:rPr>
      </w:pPr>
      <w:bookmarkStart w:id="1" w:name="_Toc288738397"/>
      <w:bookmarkStart w:id="2" w:name="_Toc288738839"/>
      <w:r>
        <w:rPr>
          <w:rFonts w:hint="eastAsia" w:hAnsi="宋体"/>
          <w:b/>
          <w:color w:val="000000" w:themeColor="text1"/>
          <w:sz w:val="32"/>
          <w:szCs w:val="32"/>
        </w:rPr>
        <w:t>辅助资料表</w:t>
      </w:r>
    </w:p>
    <w:p>
      <w:pPr>
        <w:rPr>
          <w:rFonts w:ascii="宋体" w:hAnsi="宋体" w:cs="宋体"/>
          <w:color w:val="000000" w:themeColor="text1"/>
          <w:sz w:val="24"/>
        </w:rPr>
      </w:pPr>
      <w:r>
        <w:rPr>
          <w:rFonts w:hint="eastAsia" w:ascii="宋体" w:hAnsi="宋体" w:cs="宋体"/>
          <w:color w:val="000000" w:themeColor="text1"/>
          <w:sz w:val="24"/>
        </w:rPr>
        <w:t>编号：</w:t>
      </w:r>
    </w:p>
    <w:p>
      <w:pPr>
        <w:pStyle w:val="4"/>
        <w:jc w:val="center"/>
        <w:rPr>
          <w:color w:val="000000" w:themeColor="text1"/>
          <w:u w:val="none"/>
        </w:rPr>
      </w:pPr>
      <w:r>
        <w:rPr>
          <w:rFonts w:hint="eastAsia" w:hAnsi="宋体" w:cs="宋体"/>
          <w:b w:val="0"/>
          <w:color w:val="000000" w:themeColor="text1"/>
          <w:szCs w:val="24"/>
          <w:u w:val="none"/>
        </w:rPr>
        <w:t>表1  项目经理基本情况表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姓名</w:t>
            </w:r>
          </w:p>
        </w:tc>
        <w:tc>
          <w:tcPr>
            <w:tcW w:w="8009"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身份证号</w:t>
            </w:r>
          </w:p>
        </w:tc>
        <w:tc>
          <w:tcPr>
            <w:tcW w:w="8009"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53" w:type="dxa"/>
            <w:vMerge w:val="restart"/>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执业资格专业及等级</w:t>
            </w:r>
          </w:p>
        </w:tc>
        <w:tc>
          <w:tcPr>
            <w:tcW w:w="8009" w:type="dxa"/>
            <w:vMerge w:val="restart"/>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53" w:type="dxa"/>
            <w:vMerge w:val="continue"/>
            <w:noWrap/>
            <w:vAlign w:val="center"/>
          </w:tcPr>
          <w:p>
            <w:pPr>
              <w:spacing w:line="360" w:lineRule="auto"/>
              <w:jc w:val="center"/>
              <w:rPr>
                <w:rFonts w:ascii="宋体"/>
                <w:color w:val="000000" w:themeColor="text1"/>
                <w:sz w:val="24"/>
              </w:rPr>
            </w:pPr>
          </w:p>
        </w:tc>
        <w:tc>
          <w:tcPr>
            <w:tcW w:w="8009" w:type="dxa"/>
            <w:vMerge w:val="continue"/>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安全生产考核合格证</w:t>
            </w:r>
            <w:r>
              <w:rPr>
                <w:rFonts w:ascii="宋体" w:hAnsi="宋体" w:cs="宋体"/>
                <w:color w:val="000000" w:themeColor="text1"/>
                <w:sz w:val="24"/>
              </w:rPr>
              <w:t>B</w:t>
            </w:r>
            <w:r>
              <w:rPr>
                <w:rFonts w:hint="eastAsia" w:ascii="宋体" w:hAnsi="宋体" w:cs="宋体"/>
                <w:color w:val="000000" w:themeColor="text1"/>
                <w:sz w:val="24"/>
              </w:rPr>
              <w:t>证证号</w:t>
            </w:r>
          </w:p>
        </w:tc>
        <w:tc>
          <w:tcPr>
            <w:tcW w:w="8009"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职称</w:t>
            </w:r>
          </w:p>
        </w:tc>
        <w:tc>
          <w:tcPr>
            <w:tcW w:w="8009"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备注</w:t>
            </w:r>
          </w:p>
        </w:tc>
        <w:tc>
          <w:tcPr>
            <w:tcW w:w="8009" w:type="dxa"/>
            <w:noWrap/>
            <w:vAlign w:val="center"/>
          </w:tcPr>
          <w:p>
            <w:pPr>
              <w:spacing w:line="360" w:lineRule="auto"/>
              <w:jc w:val="center"/>
              <w:rPr>
                <w:rFonts w:ascii="宋体"/>
                <w:color w:val="000000" w:themeColor="text1"/>
                <w:sz w:val="24"/>
              </w:rPr>
            </w:pPr>
          </w:p>
        </w:tc>
      </w:tr>
    </w:tbl>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表2   主要施工管理人员表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738"/>
        <w:gridCol w:w="968"/>
        <w:gridCol w:w="967"/>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69"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名称</w:t>
            </w:r>
          </w:p>
        </w:tc>
        <w:tc>
          <w:tcPr>
            <w:tcW w:w="738"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姓名</w:t>
            </w:r>
          </w:p>
        </w:tc>
        <w:tc>
          <w:tcPr>
            <w:tcW w:w="968"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职务</w:t>
            </w:r>
          </w:p>
        </w:tc>
        <w:tc>
          <w:tcPr>
            <w:tcW w:w="967"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职称</w:t>
            </w:r>
          </w:p>
        </w:tc>
        <w:tc>
          <w:tcPr>
            <w:tcW w:w="5220"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tcPr>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一、总部</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1.项目主管</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2.其他人员</w:t>
            </w:r>
          </w:p>
          <w:p>
            <w:pPr>
              <w:pStyle w:val="10"/>
              <w:adjustRightInd w:val="0"/>
              <w:snapToGrid w:val="0"/>
              <w:spacing w:line="300" w:lineRule="auto"/>
              <w:ind w:firstLine="630"/>
              <w:rPr>
                <w:rFonts w:hAnsi="宋体" w:cs="宋体"/>
                <w:color w:val="000000" w:themeColor="text1"/>
                <w:sz w:val="24"/>
                <w:szCs w:val="24"/>
              </w:rPr>
            </w:pPr>
            <w:r>
              <w:rPr>
                <w:rFonts w:hint="eastAsia" w:hAnsi="宋体" w:cs="宋体"/>
                <w:color w:val="000000" w:themeColor="text1"/>
                <w:sz w:val="24"/>
                <w:szCs w:val="24"/>
              </w:rPr>
              <w:t>…</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二、现场</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1.项目经理</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2.技术负责人</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3.质量管理</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4.材料管理</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5.计划管理</w:t>
            </w:r>
          </w:p>
          <w:p>
            <w:pPr>
              <w:pStyle w:val="10"/>
              <w:adjustRightInd w:val="0"/>
              <w:snapToGrid w:val="0"/>
              <w:spacing w:line="300" w:lineRule="auto"/>
              <w:ind w:firstLine="210"/>
              <w:rPr>
                <w:rFonts w:hAnsi="宋体" w:cs="宋体"/>
                <w:color w:val="000000" w:themeColor="text1"/>
                <w:sz w:val="24"/>
                <w:szCs w:val="24"/>
              </w:rPr>
            </w:pPr>
            <w:r>
              <w:rPr>
                <w:rFonts w:hint="eastAsia" w:hAnsi="宋体" w:cs="宋体"/>
                <w:color w:val="000000" w:themeColor="text1"/>
                <w:sz w:val="24"/>
                <w:szCs w:val="24"/>
              </w:rPr>
              <w:t>6.安全管理</w:t>
            </w:r>
          </w:p>
          <w:p>
            <w:pPr>
              <w:pStyle w:val="10"/>
              <w:adjustRightInd w:val="0"/>
              <w:snapToGrid w:val="0"/>
              <w:spacing w:line="300" w:lineRule="auto"/>
              <w:ind w:firstLine="630"/>
              <w:rPr>
                <w:rFonts w:hAnsi="宋体" w:cs="宋体"/>
                <w:color w:val="000000" w:themeColor="text1"/>
                <w:sz w:val="24"/>
                <w:szCs w:val="24"/>
              </w:rPr>
            </w:pPr>
            <w:r>
              <w:rPr>
                <w:rFonts w:hint="eastAsia" w:hAnsi="宋体" w:cs="宋体"/>
                <w:color w:val="000000" w:themeColor="text1"/>
                <w:sz w:val="24"/>
                <w:szCs w:val="24"/>
              </w:rPr>
              <w:t>…</w:t>
            </w:r>
          </w:p>
        </w:tc>
        <w:tc>
          <w:tcPr>
            <w:tcW w:w="738" w:type="dxa"/>
            <w:noWrap/>
          </w:tcPr>
          <w:p>
            <w:pPr>
              <w:pStyle w:val="10"/>
              <w:adjustRightInd w:val="0"/>
              <w:snapToGrid w:val="0"/>
              <w:spacing w:line="300" w:lineRule="auto"/>
              <w:rPr>
                <w:rFonts w:hAnsi="宋体" w:cs="宋体"/>
                <w:color w:val="000000" w:themeColor="text1"/>
                <w:sz w:val="24"/>
                <w:szCs w:val="24"/>
              </w:rPr>
            </w:pPr>
          </w:p>
        </w:tc>
        <w:tc>
          <w:tcPr>
            <w:tcW w:w="968" w:type="dxa"/>
            <w:noWrap/>
          </w:tcPr>
          <w:p>
            <w:pPr>
              <w:pStyle w:val="10"/>
              <w:adjustRightInd w:val="0"/>
              <w:snapToGrid w:val="0"/>
              <w:spacing w:line="300" w:lineRule="auto"/>
              <w:rPr>
                <w:rFonts w:hAnsi="宋体" w:cs="宋体"/>
                <w:color w:val="000000" w:themeColor="text1"/>
                <w:sz w:val="24"/>
                <w:szCs w:val="24"/>
              </w:rPr>
            </w:pPr>
          </w:p>
        </w:tc>
        <w:tc>
          <w:tcPr>
            <w:tcW w:w="967" w:type="dxa"/>
            <w:noWrap/>
          </w:tcPr>
          <w:p>
            <w:pPr>
              <w:pStyle w:val="10"/>
              <w:adjustRightInd w:val="0"/>
              <w:snapToGrid w:val="0"/>
              <w:spacing w:line="300" w:lineRule="auto"/>
              <w:rPr>
                <w:rFonts w:hAnsi="宋体" w:cs="宋体"/>
                <w:color w:val="000000" w:themeColor="text1"/>
                <w:sz w:val="24"/>
                <w:szCs w:val="24"/>
              </w:rPr>
            </w:pPr>
          </w:p>
        </w:tc>
        <w:tc>
          <w:tcPr>
            <w:tcW w:w="5220" w:type="dxa"/>
            <w:noWrap/>
          </w:tcPr>
          <w:p>
            <w:pPr>
              <w:pStyle w:val="10"/>
              <w:adjustRightInd w:val="0"/>
              <w:snapToGrid w:val="0"/>
              <w:spacing w:line="300" w:lineRule="auto"/>
              <w:rPr>
                <w:rFonts w:hAnsi="宋体" w:cs="宋体"/>
                <w:color w:val="000000" w:themeColor="text1"/>
                <w:sz w:val="24"/>
                <w:szCs w:val="24"/>
              </w:rPr>
            </w:pPr>
          </w:p>
        </w:tc>
      </w:tr>
    </w:tbl>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表3  主要施工机械设备表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04"/>
        <w:gridCol w:w="1241"/>
        <w:gridCol w:w="930"/>
        <w:gridCol w:w="775"/>
        <w:gridCol w:w="1175"/>
        <w:gridCol w:w="1152"/>
        <w:gridCol w:w="11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序号</w:t>
            </w:r>
          </w:p>
        </w:tc>
        <w:tc>
          <w:tcPr>
            <w:tcW w:w="1904"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机械或设备名称</w:t>
            </w:r>
          </w:p>
        </w:tc>
        <w:tc>
          <w:tcPr>
            <w:tcW w:w="1241"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型号规格</w:t>
            </w:r>
          </w:p>
        </w:tc>
        <w:tc>
          <w:tcPr>
            <w:tcW w:w="930"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数量</w:t>
            </w:r>
          </w:p>
        </w:tc>
        <w:tc>
          <w:tcPr>
            <w:tcW w:w="775"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国别产地</w:t>
            </w:r>
          </w:p>
        </w:tc>
        <w:tc>
          <w:tcPr>
            <w:tcW w:w="1175"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制造年份</w:t>
            </w:r>
          </w:p>
        </w:tc>
        <w:tc>
          <w:tcPr>
            <w:tcW w:w="1152"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额定功率kW</w:t>
            </w:r>
          </w:p>
        </w:tc>
        <w:tc>
          <w:tcPr>
            <w:tcW w:w="1176"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生产能力</w:t>
            </w:r>
          </w:p>
        </w:tc>
        <w:tc>
          <w:tcPr>
            <w:tcW w:w="876"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bl>
    <w:p>
      <w:pPr>
        <w:pStyle w:val="10"/>
        <w:adjustRightInd w:val="0"/>
        <w:snapToGrid w:val="0"/>
        <w:spacing w:line="300" w:lineRule="auto"/>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表4   劳动力计划表</w:t>
      </w:r>
    </w:p>
    <w:p>
      <w:pPr>
        <w:pStyle w:val="10"/>
        <w:adjustRightInd w:val="0"/>
        <w:snapToGrid w:val="0"/>
        <w:spacing w:line="300" w:lineRule="auto"/>
        <w:ind w:firstLine="480" w:firstLineChars="200"/>
        <w:rPr>
          <w:rFonts w:hAnsi="宋体" w:cs="宋体"/>
          <w:color w:val="000000" w:themeColor="text1"/>
          <w:sz w:val="24"/>
          <w:szCs w:val="24"/>
        </w:rPr>
      </w:pPr>
      <w:r>
        <w:rPr>
          <w:rFonts w:hint="eastAsia" w:hAnsi="宋体" w:cs="宋体"/>
          <w:color w:val="000000" w:themeColor="text1"/>
          <w:sz w:val="24"/>
          <w:szCs w:val="24"/>
        </w:rPr>
        <w:t>供应商应按所列格式提交包括分包人在内的估计的劳动力计划表。本计划表是以每班八小时工作制为基础的。</w:t>
      </w:r>
    </w:p>
    <w:p>
      <w:pPr>
        <w:pStyle w:val="10"/>
        <w:adjustRightInd w:val="0"/>
        <w:snapToGrid w:val="0"/>
        <w:spacing w:line="300" w:lineRule="auto"/>
        <w:ind w:firstLine="420"/>
        <w:jc w:val="right"/>
        <w:rPr>
          <w:rFonts w:hAnsi="宋体" w:cs="宋体"/>
          <w:color w:val="000000" w:themeColor="text1"/>
          <w:sz w:val="24"/>
          <w:szCs w:val="24"/>
        </w:rPr>
      </w:pPr>
      <w:r>
        <w:rPr>
          <w:rFonts w:hint="eastAsia" w:hAnsi="宋体" w:cs="宋体"/>
          <w:color w:val="000000" w:themeColor="text1"/>
          <w:sz w:val="24"/>
          <w:szCs w:val="24"/>
        </w:rPr>
        <w:t>单位：人</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23"/>
        <w:gridCol w:w="947"/>
        <w:gridCol w:w="1123"/>
        <w:gridCol w:w="1123"/>
        <w:gridCol w:w="947"/>
        <w:gridCol w:w="94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804" w:type="dxa"/>
            <w:vMerge w:val="restart"/>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工种、级别</w:t>
            </w:r>
          </w:p>
        </w:tc>
        <w:tc>
          <w:tcPr>
            <w:tcW w:w="7158" w:type="dxa"/>
            <w:gridSpan w:val="7"/>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04" w:type="dxa"/>
            <w:vMerge w:val="continue"/>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948"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jc w:val="center"/>
        </w:trPr>
        <w:tc>
          <w:tcPr>
            <w:tcW w:w="2804"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948" w:type="dxa"/>
            <w:tcBorders>
              <w:bottom w:val="single" w:color="auto" w:sz="4" w:space="0"/>
            </w:tcBorders>
            <w:noWrap/>
          </w:tcPr>
          <w:p>
            <w:pPr>
              <w:pStyle w:val="10"/>
              <w:adjustRightInd w:val="0"/>
              <w:snapToGrid w:val="0"/>
              <w:spacing w:line="300" w:lineRule="auto"/>
              <w:jc w:val="center"/>
              <w:rPr>
                <w:rFonts w:hAnsi="宋体" w:cs="宋体"/>
                <w:color w:val="000000" w:themeColor="text1"/>
                <w:sz w:val="24"/>
                <w:szCs w:val="24"/>
              </w:rPr>
            </w:pPr>
          </w:p>
        </w:tc>
      </w:tr>
    </w:tbl>
    <w:p>
      <w:pPr>
        <w:numPr>
          <w:ins w:id="0" w:author="微软用户" w:date="2017-09-12T13:58:00Z"/>
        </w:numPr>
        <w:snapToGrid w:val="0"/>
        <w:spacing w:line="360" w:lineRule="auto"/>
        <w:rPr>
          <w:rFonts w:ascii="宋体" w:hAnsi="宋体" w:cs="宋体"/>
          <w:color w:val="000000" w:themeColor="text1"/>
          <w:sz w:val="24"/>
        </w:rPr>
      </w:pPr>
    </w:p>
    <w:p>
      <w:pPr>
        <w:rPr>
          <w:rFonts w:ascii="宋体" w:hAnsi="宋体" w:cs="宋体"/>
          <w:color w:val="000000" w:themeColor="text1"/>
          <w:sz w:val="24"/>
        </w:rPr>
      </w:pPr>
    </w:p>
    <w:p>
      <w:pPr>
        <w:rPr>
          <w:rFonts w:ascii="宋体" w:hAnsi="宋体" w:cs="宋体"/>
          <w:color w:val="000000" w:themeColor="text1"/>
          <w:sz w:val="24"/>
        </w:rPr>
      </w:pPr>
      <w:r>
        <w:rPr>
          <w:rFonts w:hint="eastAsia" w:ascii="宋体" w:hAnsi="宋体" w:cs="宋体"/>
          <w:color w:val="000000" w:themeColor="text1"/>
          <w:sz w:val="24"/>
        </w:rPr>
        <w:t>供应商名称（公章）：</w:t>
      </w:r>
    </w:p>
    <w:p>
      <w:pPr>
        <w:rPr>
          <w:rFonts w:ascii="宋体" w:hAnsi="宋体" w:cs="宋体"/>
          <w:color w:val="000000" w:themeColor="text1"/>
          <w:sz w:val="24"/>
        </w:rPr>
      </w:pPr>
    </w:p>
    <w:p>
      <w:pPr>
        <w:rPr>
          <w:rFonts w:ascii="宋体" w:hAnsi="宋体" w:cs="宋体"/>
          <w:color w:val="000000" w:themeColor="text1"/>
          <w:sz w:val="24"/>
        </w:rPr>
      </w:pPr>
    </w:p>
    <w:p>
      <w:pPr>
        <w:rPr>
          <w:rFonts w:ascii="宋体" w:hAnsi="宋体" w:cs="宋体"/>
          <w:color w:val="000000" w:themeColor="text1"/>
          <w:sz w:val="24"/>
        </w:rPr>
      </w:pPr>
      <w:r>
        <w:rPr>
          <w:rFonts w:hint="eastAsia" w:ascii="宋体" w:hAnsi="宋体" w:cs="宋体"/>
          <w:color w:val="000000" w:themeColor="text1"/>
          <w:sz w:val="24"/>
        </w:rPr>
        <w:t>法定代表人或代理人（签字或盖章）：</w:t>
      </w:r>
    </w:p>
    <w:p>
      <w:pPr>
        <w:numPr>
          <w:ins w:id="1" w:author="微软用户" w:date=""/>
        </w:numPr>
        <w:snapToGrid w:val="0"/>
        <w:spacing w:line="360" w:lineRule="auto"/>
        <w:rPr>
          <w:rFonts w:ascii="宋体" w:hAnsi="宋体" w:cs="宋体"/>
          <w:color w:val="000000" w:themeColor="text1"/>
          <w:sz w:val="24"/>
        </w:rPr>
      </w:pPr>
    </w:p>
    <w:p>
      <w:pPr>
        <w:numPr>
          <w:ins w:id="2" w:author="微软用户" w:date=""/>
        </w:numPr>
        <w:snapToGrid w:val="0"/>
        <w:spacing w:line="360" w:lineRule="auto"/>
        <w:rPr>
          <w:rFonts w:ascii="宋体" w:hAnsi="宋体" w:cs="宋体"/>
          <w:color w:val="000000" w:themeColor="text1"/>
          <w:sz w:val="24"/>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3"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175"/>
        <w:gridCol w:w="1792"/>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项目名称</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项目所在地</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发包人名称</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中标金额</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中标日期</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竣工日期</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项目经理</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标段檐高</w:t>
            </w:r>
          </w:p>
        </w:tc>
        <w:tc>
          <w:tcPr>
            <w:tcW w:w="2175" w:type="dxa"/>
            <w:noWrap/>
            <w:vAlign w:val="center"/>
          </w:tcPr>
          <w:p>
            <w:pPr>
              <w:spacing w:line="360" w:lineRule="auto"/>
              <w:rPr>
                <w:rFonts w:ascii="宋体"/>
                <w:color w:val="000000" w:themeColor="text1"/>
                <w:sz w:val="24"/>
              </w:rPr>
            </w:pPr>
          </w:p>
        </w:tc>
        <w:tc>
          <w:tcPr>
            <w:tcW w:w="1792" w:type="dxa"/>
            <w:noWrap/>
            <w:vAlign w:val="center"/>
          </w:tcPr>
          <w:p>
            <w:pPr>
              <w:spacing w:line="360" w:lineRule="auto"/>
              <w:rPr>
                <w:rFonts w:ascii="宋体"/>
                <w:color w:val="000000" w:themeColor="text1"/>
                <w:sz w:val="24"/>
              </w:rPr>
            </w:pPr>
            <w:r>
              <w:rPr>
                <w:rFonts w:hint="eastAsia" w:ascii="宋体" w:hAnsi="宋体" w:cs="宋体"/>
                <w:color w:val="000000" w:themeColor="text1"/>
                <w:sz w:val="24"/>
              </w:rPr>
              <w:t>标段建筑面积</w:t>
            </w:r>
          </w:p>
        </w:tc>
        <w:tc>
          <w:tcPr>
            <w:tcW w:w="3198" w:type="dxa"/>
            <w:noWrap/>
            <w:vAlign w:val="center"/>
          </w:tcPr>
          <w:p>
            <w:pPr>
              <w:spacing w:line="360" w:lineRule="auto"/>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幕墙施工面积</w:t>
            </w:r>
          </w:p>
        </w:tc>
        <w:tc>
          <w:tcPr>
            <w:tcW w:w="2175" w:type="dxa"/>
            <w:noWrap/>
            <w:vAlign w:val="center"/>
          </w:tcPr>
          <w:p>
            <w:pPr>
              <w:spacing w:line="360" w:lineRule="auto"/>
              <w:rPr>
                <w:rFonts w:ascii="宋体"/>
                <w:color w:val="000000" w:themeColor="text1"/>
                <w:sz w:val="24"/>
              </w:rPr>
            </w:pPr>
          </w:p>
        </w:tc>
        <w:tc>
          <w:tcPr>
            <w:tcW w:w="1792" w:type="dxa"/>
            <w:noWrap/>
            <w:vAlign w:val="center"/>
          </w:tcPr>
          <w:p>
            <w:pPr>
              <w:spacing w:line="360" w:lineRule="auto"/>
              <w:rPr>
                <w:rFonts w:ascii="宋体"/>
                <w:color w:val="000000" w:themeColor="text1"/>
                <w:sz w:val="24"/>
              </w:rPr>
            </w:pPr>
            <w:r>
              <w:rPr>
                <w:rFonts w:hint="eastAsia" w:ascii="宋体" w:hAnsi="宋体" w:cs="宋体"/>
                <w:color w:val="000000" w:themeColor="text1"/>
                <w:sz w:val="24"/>
              </w:rPr>
              <w:t>标段地上层数</w:t>
            </w:r>
          </w:p>
        </w:tc>
        <w:tc>
          <w:tcPr>
            <w:tcW w:w="3198" w:type="dxa"/>
            <w:noWrap/>
            <w:vAlign w:val="center"/>
          </w:tcPr>
          <w:p>
            <w:pPr>
              <w:spacing w:line="360" w:lineRule="auto"/>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标段地下层数</w:t>
            </w:r>
          </w:p>
        </w:tc>
        <w:tc>
          <w:tcPr>
            <w:tcW w:w="2175" w:type="dxa"/>
            <w:noWrap/>
            <w:vAlign w:val="center"/>
          </w:tcPr>
          <w:p>
            <w:pPr>
              <w:spacing w:line="360" w:lineRule="auto"/>
              <w:jc w:val="center"/>
              <w:rPr>
                <w:rFonts w:ascii="宋体"/>
                <w:color w:val="000000" w:themeColor="text1"/>
                <w:sz w:val="24"/>
              </w:rPr>
            </w:pPr>
          </w:p>
        </w:tc>
        <w:tc>
          <w:tcPr>
            <w:tcW w:w="1792"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标段跨度</w:t>
            </w:r>
          </w:p>
        </w:tc>
        <w:tc>
          <w:tcPr>
            <w:tcW w:w="3198"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备注</w:t>
            </w:r>
          </w:p>
        </w:tc>
        <w:tc>
          <w:tcPr>
            <w:tcW w:w="7165" w:type="dxa"/>
            <w:gridSpan w:val="3"/>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供应商根据本项目采购公告中类似项目的要求增加对项目的描述</w:t>
            </w:r>
          </w:p>
        </w:tc>
      </w:tr>
    </w:tbl>
    <w:p>
      <w:pPr>
        <w:pageBreakBefore w:val="0"/>
        <w:numPr>
          <w:ins w:id="4"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5"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6"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7"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8"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9"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0"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1"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2"/>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中小企业声明函(工程)</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60"/>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hint="eastAsia" w:ascii="宋体" w:hAnsi="宋体" w:eastAsia="宋体" w:cs="宋体"/>
        </w:rPr>
      </w:pPr>
      <w:r>
        <w:rPr>
          <w:rFonts w:hint="eastAsia" w:ascii="宋体" w:hAnsi="宋体" w:eastAsia="宋体" w:cs="宋体"/>
        </w:rPr>
        <w:t>……</w:t>
      </w:r>
    </w:p>
    <w:p>
      <w:pPr>
        <w:pStyle w:val="60"/>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60"/>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adjustRightInd w:val="0"/>
        <w:snapToGrid w:val="0"/>
        <w:spacing w:line="360" w:lineRule="auto"/>
        <w:jc w:val="center"/>
        <w:rPr>
          <w:rFonts w:ascii="宋体" w:hAnsi="宋体" w:cs="宋体"/>
          <w:szCs w:val="21"/>
        </w:rPr>
      </w:pPr>
      <w:r>
        <w:rPr>
          <w:rFonts w:hint="eastAsia" w:ascii="宋体" w:hAnsi="宋体" w:cs="宋体"/>
          <w:b/>
          <w:bCs w:val="0"/>
          <w:color w:val="auto"/>
          <w:sz w:val="30"/>
          <w:szCs w:val="30"/>
          <w:highlight w:val="none"/>
          <w:u w:val="single"/>
          <w:lang w:val="en-US" w:eastAsia="zh-CN"/>
        </w:rPr>
        <w:t>奔牛人民医院长廊改造项目</w:t>
      </w:r>
      <w:r>
        <w:rPr>
          <w:rFonts w:hint="eastAsia"/>
          <w:b/>
          <w:bCs/>
          <w:sz w:val="30"/>
          <w:szCs w:val="30"/>
        </w:rPr>
        <w:t>项目合同</w:t>
      </w:r>
    </w:p>
    <w:p>
      <w:pPr>
        <w:adjustRightInd w:val="0"/>
        <w:snapToGrid w:val="0"/>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甲</w:t>
      </w:r>
      <w:r>
        <w:rPr>
          <w:rFonts w:hint="eastAsia" w:ascii="宋体" w:hAnsi="宋体" w:eastAsia="宋体" w:cs="宋体"/>
          <w:color w:val="000000" w:themeColor="text1"/>
          <w:sz w:val="21"/>
          <w:szCs w:val="21"/>
        </w:rPr>
        <w:t>方：</w:t>
      </w:r>
      <w:r>
        <w:rPr>
          <w:rFonts w:hint="eastAsia" w:ascii="宋体" w:hAnsi="宋体" w:cs="宋体"/>
          <w:color w:val="000000" w:themeColor="text1"/>
          <w:sz w:val="21"/>
          <w:szCs w:val="21"/>
          <w:lang w:val="en-US" w:eastAsia="zh-CN"/>
        </w:rPr>
        <w:t>常州市新北区奔牛人民医院</w:t>
      </w:r>
      <w:r>
        <w:rPr>
          <w:rFonts w:hint="eastAsia" w:ascii="宋体" w:hAnsi="宋体" w:eastAsia="宋体" w:cs="宋体"/>
          <w:color w:val="000000" w:themeColor="text1"/>
          <w:sz w:val="21"/>
          <w:szCs w:val="21"/>
          <w:lang w:val="en-US" w:eastAsia="zh-CN"/>
        </w:rPr>
        <w:t xml:space="preserve">               </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合同编号：</w:t>
      </w:r>
    </w:p>
    <w:p>
      <w:pPr>
        <w:adjustRightInd w:val="0"/>
        <w:snapToGrid w:val="0"/>
        <w:spacing w:line="360" w:lineRule="auto"/>
        <w:jc w:val="left"/>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rPr>
        <w:t>乙方：                                         签订地点：</w:t>
      </w:r>
    </w:p>
    <w:p>
      <w:pPr>
        <w:adjustRightInd w:val="0"/>
        <w:snapToGrid w:val="0"/>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见证方：</w:t>
      </w:r>
      <w:r>
        <w:rPr>
          <w:rFonts w:hint="eastAsia" w:ascii="宋体" w:hAnsi="宋体" w:cs="宋体"/>
          <w:color w:val="000000" w:themeColor="text1"/>
          <w:sz w:val="21"/>
          <w:szCs w:val="21"/>
          <w:lang w:eastAsia="zh-CN"/>
        </w:rPr>
        <w:t>常州新禾招投标有限公司</w:t>
      </w:r>
      <w:r>
        <w:rPr>
          <w:rFonts w:hint="eastAsia" w:ascii="宋体" w:hAnsi="宋体" w:eastAsia="宋体" w:cs="宋体"/>
          <w:color w:val="000000" w:themeColor="text1"/>
          <w:sz w:val="21"/>
          <w:szCs w:val="21"/>
        </w:rPr>
        <w:t xml:space="preserve">                 签订时间：     年   月    日</w:t>
      </w:r>
    </w:p>
    <w:p>
      <w:pPr>
        <w:pStyle w:val="10"/>
        <w:adjustRightInd w:val="0"/>
        <w:snapToGrid w:val="0"/>
        <w:spacing w:line="360" w:lineRule="auto"/>
        <w:jc w:val="left"/>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按照《中华人民共和国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hAnsi="宋体" w:cs="宋体"/>
          <w:color w:val="000000" w:themeColor="text1"/>
          <w:sz w:val="21"/>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建筑法</w:t>
      </w:r>
      <w:r>
        <w:rPr>
          <w:rFonts w:hint="eastAsia" w:ascii="宋体" w:hAnsi="宋体" w:eastAsia="宋体" w:cs="宋体"/>
          <w:color w:val="000000" w:themeColor="text1"/>
          <w:sz w:val="21"/>
          <w:szCs w:val="21"/>
        </w:rPr>
        <w:t>》及有关规定，结合本工程具体情况，双方达成如下协议。</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第1条  工程概况</w:t>
      </w:r>
    </w:p>
    <w:p>
      <w:pPr>
        <w:adjustRightInd w:val="0"/>
        <w:snapToGrid w:val="0"/>
        <w:spacing w:line="360" w:lineRule="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color w:val="000000" w:themeColor="text1"/>
          <w:sz w:val="21"/>
          <w:szCs w:val="21"/>
        </w:rPr>
        <w:t>1.1工程名称：</w:t>
      </w:r>
      <w:r>
        <w:rPr>
          <w:rFonts w:hint="eastAsia" w:ascii="宋体" w:hAnsi="宋体" w:cs="宋体"/>
          <w:b w:val="0"/>
          <w:bCs/>
          <w:color w:val="auto"/>
          <w:sz w:val="21"/>
          <w:szCs w:val="21"/>
          <w:highlight w:val="none"/>
          <w:u w:val="none"/>
          <w:lang w:val="en-US" w:eastAsia="zh-CN"/>
        </w:rPr>
        <w:t>奔牛人民医院长廊改造项目</w:t>
      </w:r>
    </w:p>
    <w:p>
      <w:pPr>
        <w:adjustRightInd w:val="0"/>
        <w:snapToGrid w:val="0"/>
        <w:spacing w:line="360" w:lineRule="auto"/>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1.2工程地点：</w:t>
      </w:r>
      <w:r>
        <w:rPr>
          <w:rFonts w:hint="eastAsia" w:ascii="宋体" w:hAnsi="宋体" w:cs="宋体"/>
          <w:color w:val="000000" w:themeColor="text1"/>
          <w:sz w:val="21"/>
          <w:szCs w:val="21"/>
          <w:lang w:val="en-US" w:eastAsia="zh-CN"/>
        </w:rPr>
        <w:t>常州市新北区奔牛人民医院</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1.3承包范围: 采购文件要求的所有范围           </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default" w:ascii="宋体" w:hAnsi="宋体" w:eastAsia="宋体" w:cs="宋体"/>
          <w:color w:val="000000" w:themeColor="text1"/>
          <w:sz w:val="21"/>
          <w:szCs w:val="21"/>
          <w:u w:val="single"/>
          <w:lang w:val="en-US" w:eastAsia="zh-CN"/>
        </w:rPr>
      </w:pPr>
      <w:r>
        <w:rPr>
          <w:rFonts w:hint="eastAsia" w:ascii="宋体" w:hAnsi="宋体" w:eastAsia="宋体" w:cs="宋体"/>
          <w:color w:val="000000" w:themeColor="text1"/>
          <w:sz w:val="21"/>
          <w:szCs w:val="21"/>
        </w:rPr>
        <w:t>1.4服务期限:</w:t>
      </w:r>
      <w:r>
        <w:rPr>
          <w:rFonts w:hint="eastAsia" w:hAnsi="宋体" w:cs="宋体"/>
          <w:color w:val="000000" w:themeColor="text1"/>
          <w:sz w:val="21"/>
          <w:szCs w:val="21"/>
          <w:lang w:val="en-US" w:eastAsia="zh-CN"/>
        </w:rPr>
        <w:t>20个日历日</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1.5工程质量：一次性验收合格，符合国家相关标准。</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1.6合同价款清单:</w:t>
      </w:r>
      <w:r>
        <w:rPr>
          <w:rFonts w:hint="eastAsia" w:hAnsi="宋体" w:cs="宋体"/>
          <w:color w:val="000000" w:themeColor="text1"/>
          <w:sz w:val="21"/>
          <w:szCs w:val="21"/>
          <w:lang w:val="en-US" w:eastAsia="zh-CN"/>
        </w:rPr>
        <w:t>详情见采购文件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 xml:space="preserve">第2条  甲方工作 </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2.1开工前做好施工现场的“三通”（路通、水通、电通），满足施工条件；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2.2提供维修改造需求、委派施工任务；</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2.3对施工质量、进度、安全进行监督，组织召开施工准备会、隐蔽工程验收、竣工验收，审核结算送审资料等，及时支付工程款，施工过程协调事宜；</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第3条  乙方工作</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3.1严格按照设计图纸（若有）、施工规范及采购方要求进行施工，确保工程质量、安全，按期交付使用。</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3.2按采购方要求进行材料报验、竣工报验、结算送审、工程款支付申请等。</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3.3必须确保文明施工，施工现场物料堆放整齐，工完料尽场地清，现场设置围栏和警示标志，做好成品保护工作，现场卫生干净。</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3.4参加采购方组织的各种施工会议。</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3.5无条件配合采购方做好拟维修改造项目方案编制、预算编制工作（一般单个项目在3工作日完成，特殊情况根据采购要求进行）。</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3.6因施工发生水电费由乙方承担，施工造成的维修质量问题，负责无偿按期修复。</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3.7合同终止后，乙方必须无条件按采购方要求移交全部属于采购方的资产以及管理过程中的全部原始资料、及时退场。</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3.8乙方委派现场负责人和施工人员必须对采购方工程现场和设备情况熟悉。</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3.9乙方必须配备应急抢修的常用施工工具、零星维修常用材料。</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3.10施工人员进出校区和施工需服从小区有关管理规定，不得影响小区业主的正常的教学秩序，如有违反，每人次承担违约金500元。</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3.11乙方施工人员食宿自理。</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3.12乙方必须为所有进场施工人员购买雇主责任险、意外险。乙方在施工期间应严格遵守国家现行的法规、施工规范，由于乙方原因造成质量及安全事故（包括但不限于造成采购方、乙方或者第三方人员人身损害、财物损失或者其他意外情况的），其损失、责任全部由乙方承担。</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第4条  关于工期的约定</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4.1采购方要求比合同约定的工期提前竣工时，应征得乙方同意，并支付乙方因赶工采取的措施费用。</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4.2因采购方未按约定完成工作，影响工期，工期顺延。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4.3因乙方责任，不能按期开工或中途无故停工，影响工期，工期不得顺延。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4.4因设计变更或非乙方原因造成的停电、停水、停气及不可抗力因素，导致停工8小时以上（一周内累计计算），工期相应顺延。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第5条  关于工程质量及验收的约定</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5.1本工程以施工图纸、作法说明、设计变更和《建筑工程施工质量验收统一标准》（GB50300——2013）、《建筑装饰装修工程施工质量验收规范》（GB50210——2011）、《建筑电气工程施工质量验收规范》（GB50503——2011）等国家制订的施工及验收规范为质量评定验收标准。</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5.2本工程质量应达到国家质量评定  合格 标准。</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5.3甲、乙双方应及时办理隐蔽工程和中间工程的检查与验收手续。采购方不按时参加隐蔽工程和中间工程验收，乙方可自行验收，采购方应予承认。若采购方要求复验时，乙方应按要求办理复验。若复验合格，采购方应承担复验费用，由此造成停工，工期顺延；若复验不合格，其复验及返工费用由乙方承担，但工期也予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5.4乙方负责采购的材料，应严格按采购方要求采购,并提供产品合格证明,对材料质量负责。乙方采购的材料在使用前,应按照采购方或监理的要求进行检验或试验,不合格的不得使用,检验或试验费用由乙方承担。</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5.5由于采购方提供的材料、设备质量不合格而影响工程质量，其返工费用由采购方承担，工期顺延。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5.6由于乙方原因造成质量事故，其损失及费用由乙方承担，工期不顺延。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5.7工程竣工后，乙方应通知采购方验收，采购方自接到验收通知日内组织验收，并办理验收、移交手续。如采购方在规定时间内未能组织验收，需及时通知乙方，另定验收日期。</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第6条  关于工程价款及结算的约定</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000000" w:themeColor="text1"/>
          <w:sz w:val="21"/>
          <w:szCs w:val="21"/>
          <w:lang w:val="en-US" w:eastAsia="zh-CN"/>
        </w:rPr>
        <w:t>6</w:t>
      </w:r>
      <w:r>
        <w:rPr>
          <w:rFonts w:hint="eastAsia" w:ascii="宋体" w:hAnsi="宋体" w:eastAsia="宋体" w:cs="宋体"/>
          <w:b w:val="0"/>
          <w:bCs w:val="0"/>
          <w:color w:val="000000" w:themeColor="text1"/>
          <w:sz w:val="21"/>
          <w:szCs w:val="21"/>
          <w:lang w:val="en-US" w:eastAsia="zh-CN"/>
        </w:rPr>
        <w:t>.1</w:t>
      </w:r>
      <w:r>
        <w:rPr>
          <w:rFonts w:hint="eastAsia" w:ascii="宋体" w:hAnsi="宋体" w:eastAsia="宋体" w:cs="宋体"/>
          <w:b w:val="0"/>
          <w:bCs w:val="0"/>
          <w:color w:val="auto"/>
          <w:sz w:val="21"/>
          <w:szCs w:val="21"/>
          <w:highlight w:val="none"/>
        </w:rPr>
        <w:t>经采购人验收合格后支付合同价的60%</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经审计后付至审定价的95%</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b/>
          <w:bCs/>
          <w:color w:val="000000" w:themeColor="text1"/>
          <w:sz w:val="21"/>
          <w:szCs w:val="21"/>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余款质保期满后一次性付清，质保期一年</w:t>
      </w:r>
      <w:r>
        <w:rPr>
          <w:rFonts w:hint="eastAsia" w:ascii="宋体" w:hAnsi="宋体" w:eastAsia="宋体" w:cs="宋体"/>
          <w:b w:val="0"/>
          <w:bCs w:val="0"/>
          <w:color w:val="auto"/>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第7条  关于材料供应的约定</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7.1本工程采购方负责采购供应的材料、设备，应为符合设计要求的合格产品，并应按时供应到现场。凡约定由乙方提货的，采购方应将提货手续移交给乙方，由乙方承担运输费用。由采购方供应的材料、设备发生了质量问题或规格差异，对工程造成损失，责任由采购方承担。采购方供应的材料，经乙方验收后，由乙方负责保管，采购方应支付材料价值%的保管费。由于乙方保管不当造成损失，由乙方负责赔偿。</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7.2凡由乙方采购的材料、设备，如不符合质量要求或规格差异，应禁止使用。若已使用，对工程造成的损失由乙方负责。</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第8条  有关安全生产和防火的约定</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8.1采购方提供的施工图纸或作法说明，应符合《中华人民共和国消防条例》和有关防火设计规范。</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8.2乙方在施工期间应严格遵守《建筑安装工程安全技术规程》、《建筑安装工人安全操作规程》、《中华人民共和国消防条例》和其他相关的法规、规范。</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8.3由于采购方确认的图纸或作法说明，违反有关安全操作规程、消防条例和防火设计规范，导致发生安全或火灾事故，采购方应承担由此产生的一切经济损失。</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8.4由于乙方在施工生产过程中违反有关安全操作规程、消防条例，导致发生安全或火灾事故，乙方应承担由此引发的一切经济损失。</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第9条  违约责任</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9.1成交供应商应在合同签订前按规定向采购方提交履约保证金（</w:t>
      </w:r>
      <w:r>
        <w:rPr>
          <w:rFonts w:hint="eastAsia" w:hAnsi="宋体" w:cs="宋体"/>
          <w:color w:val="000000" w:themeColor="text1"/>
          <w:sz w:val="21"/>
          <w:szCs w:val="21"/>
          <w:u w:val="single"/>
          <w:lang w:val="en-US" w:eastAsia="zh-CN"/>
        </w:rPr>
        <w:t xml:space="preserve">      </w:t>
      </w:r>
      <w:r>
        <w:rPr>
          <w:rFonts w:hint="eastAsia" w:ascii="宋体" w:hAnsi="宋体" w:eastAsia="宋体" w:cs="宋体"/>
          <w:color w:val="000000" w:themeColor="text1"/>
          <w:sz w:val="21"/>
          <w:szCs w:val="21"/>
        </w:rPr>
        <w:t>元），履约保证金（无息）将在项目服务结束并经采购方确认后15日内返还。</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9.2乙方响应文件中拟派现场负责人必须在校实际履行职责，否则采购方有权收取乙方不超过1万元违约金。</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9.3合同履行期间，针对乙方存在的问题，采购方有权根据合同条款要求乙方限期整改，若乙方未按限定的时间整改到位，采购方有权根据项目规模扣除维修费500-2000元/次作为乙方向采购方支付的违约金。</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9.4乙方应妥善保护采购方提供的设备及现场堆放的家具、陈设和工程成品，如造成损失，应按价赔偿。</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9.5采购方未办理任何手续，擅自同意拆改原有建筑物结构或设备管线，由此发生的损失或事故（包括罚款），由采购方负责并承担损失。</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9.6未经采购方同意，乙方擅自拆改原建筑物结构或设备管线，由此发生的损失或事故（包括罚款），由乙方负责并承担损失。</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9.7因一方原因，合同无法继续履行时，应通知对方，办理合同终止协议，并由责任方赔偿对方由此造成的经济损失。</w:t>
      </w:r>
    </w:p>
    <w:p>
      <w:pPr>
        <w:pStyle w:val="10"/>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第10条  争议的解决方式</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因履行本合同发生争议协商解决不成的提交</w:t>
      </w:r>
      <w:r>
        <w:rPr>
          <w:rFonts w:hint="eastAsia" w:ascii="宋体" w:hAnsi="宋体" w:eastAsia="宋体" w:cs="宋体"/>
          <w:color w:val="000000" w:themeColor="text1"/>
          <w:sz w:val="21"/>
          <w:szCs w:val="21"/>
          <w:u w:val="single"/>
        </w:rPr>
        <w:t xml:space="preserve"> 常州 </w:t>
      </w:r>
      <w:r>
        <w:rPr>
          <w:rFonts w:hint="eastAsia" w:ascii="宋体" w:hAnsi="宋体" w:eastAsia="宋体" w:cs="宋体"/>
          <w:color w:val="000000" w:themeColor="text1"/>
          <w:sz w:val="21"/>
          <w:szCs w:val="21"/>
        </w:rPr>
        <w:t>仲裁委员会仲裁。因本合同产生的以及与本合同有关的一切纠纷，均由常州仲裁委员会仲裁。该裁决是终局的，对双方均具有约束力。</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第11条  其它约定:</w:t>
      </w:r>
      <w:r>
        <w:rPr>
          <w:rFonts w:hint="eastAsia" w:ascii="宋体" w:hAnsi="宋体" w:eastAsia="宋体" w:cs="宋体"/>
          <w:color w:val="000000" w:themeColor="text1"/>
          <w:sz w:val="21"/>
          <w:szCs w:val="21"/>
        </w:rPr>
        <w:t>①工程施工管理及监理工作、竣工验收工作由采购方负责组织实施。②乙方必须注意确保安全生产、文明施工；如发生违法乱纪及人身伤害事故，一切责任均由乙方负责。③其他未尽事宜详见招标、响应文件。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第12条  附则</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12.1本合同自甲乙方盖章签字及见证方盖章签字之日起生效，如有变动，必须经三方协商一致后，方可更改。本合同一式叁份，采购方执壹份，乙方执壹份，见证方执壹份。</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12.2见证方仅对甲乙双方签订采购合同的事实进行见证，不代表任何承诺或保证，该合同的履行等相关情况均与见证方无任何关系。其他未尽事宜，参照相关法律，双方协商解决。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采购方：</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单位名称（章）：</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单位地址：</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法定代表人：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委托代理人：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经办人：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电话：</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乙方：</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单位名称（章）：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单位地址：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法定代表人：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委托代理人：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电话：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开户银行：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银行账号：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行号：</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000000" w:themeColor="text1"/>
          <w:sz w:val="21"/>
          <w:szCs w:val="21"/>
          <w:u w:val="single"/>
          <w:lang w:eastAsia="zh-CN"/>
        </w:rPr>
      </w:pPr>
      <w:r>
        <w:rPr>
          <w:rFonts w:hint="eastAsia" w:ascii="宋体" w:hAnsi="宋体" w:eastAsia="宋体" w:cs="宋体"/>
          <w:color w:val="000000" w:themeColor="text1"/>
          <w:sz w:val="21"/>
          <w:szCs w:val="21"/>
        </w:rPr>
        <w:t>代理采购机构：单位名称（章）：</w:t>
      </w:r>
      <w:r>
        <w:rPr>
          <w:rFonts w:hint="eastAsia" w:ascii="宋体" w:hAnsi="宋体" w:cs="宋体"/>
          <w:b/>
          <w:bCs/>
          <w:color w:val="000000" w:themeColor="text1"/>
          <w:sz w:val="21"/>
          <w:szCs w:val="21"/>
          <w:lang w:eastAsia="zh-CN"/>
        </w:rPr>
        <w:t>常州新禾招投标有限公司</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法定代表人：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委托代理人：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000000" w:themeColor="text1"/>
          <w:sz w:val="21"/>
          <w:szCs w:val="21"/>
        </w:rPr>
      </w:pPr>
      <w:r>
        <w:rPr>
          <w:rFonts w:hint="eastAsia" w:ascii="宋体" w:hAnsi="宋体" w:eastAsia="宋体" w:cs="宋体"/>
          <w:color w:val="000000" w:themeColor="text1"/>
          <w:sz w:val="21"/>
          <w:szCs w:val="21"/>
        </w:rPr>
        <w:t>电话：</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w:t>
      </w:r>
      <w:r>
        <w:rPr>
          <w:rFonts w:hint="eastAsia" w:ascii="宋体" w:hAnsi="宋体" w:cs="宋体"/>
          <w:b/>
          <w:szCs w:val="21"/>
          <w:lang w:eastAsia="zh-CN"/>
        </w:rPr>
        <w:t>常州新禾招投标有限公司</w:t>
      </w:r>
      <w:r>
        <w:rPr>
          <w:rFonts w:hint="eastAsia" w:ascii="宋体" w:hAnsi="宋体" w:eastAsia="宋体" w:cs="宋体"/>
          <w:b/>
          <w:szCs w:val="21"/>
        </w:rPr>
        <w:t>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39</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lang w:eastAsia="zh-CN"/>
      </w:rPr>
      <w:t>常州新禾招投标有限公司</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AFCE0"/>
    <w:multiLevelType w:val="singleLevel"/>
    <w:tmpl w:val="CACAFCE0"/>
    <w:lvl w:ilvl="0" w:tentative="0">
      <w:start w:val="2"/>
      <w:numFmt w:val="chineseCounting"/>
      <w:suff w:val="nothing"/>
      <w:lvlText w:val="%1、"/>
      <w:lvlJc w:val="left"/>
      <w:rPr>
        <w:rFonts w:hint="eastAsia"/>
      </w:r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E421545"/>
    <w:multiLevelType w:val="singleLevel"/>
    <w:tmpl w:val="0E421545"/>
    <w:lvl w:ilvl="0" w:tentative="0">
      <w:start w:val="1"/>
      <w:numFmt w:val="chineseCounting"/>
      <w:suff w:val="nothing"/>
      <w:lvlText w:val="%1、"/>
      <w:lvlJc w:val="left"/>
      <w:rPr>
        <w:rFonts w:hint="eastAsia"/>
      </w:rPr>
    </w:lvl>
  </w:abstractNum>
  <w:abstractNum w:abstractNumId="4">
    <w:nsid w:val="7E17EC30"/>
    <w:multiLevelType w:val="singleLevel"/>
    <w:tmpl w:val="7E17EC30"/>
    <w:lvl w:ilvl="0" w:tentative="0">
      <w:start w:val="1"/>
      <w:numFmt w:val="decimal"/>
      <w:suff w:val="nothing"/>
      <w:lvlText w:val="%1、"/>
      <w:lvlJc w:val="left"/>
      <w:rPr>
        <w:rFonts w:hint="default"/>
        <w:b/>
        <w:bCs/>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5105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3630F"/>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E71B5C"/>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17311B"/>
    <w:rsid w:val="10267CAD"/>
    <w:rsid w:val="10297E26"/>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C390B"/>
    <w:rsid w:val="1664315E"/>
    <w:rsid w:val="166B4C08"/>
    <w:rsid w:val="167815F1"/>
    <w:rsid w:val="1684780A"/>
    <w:rsid w:val="16907511"/>
    <w:rsid w:val="169417B1"/>
    <w:rsid w:val="16953412"/>
    <w:rsid w:val="16A356EA"/>
    <w:rsid w:val="16AD0862"/>
    <w:rsid w:val="16B13DF2"/>
    <w:rsid w:val="16B37758"/>
    <w:rsid w:val="16B55536"/>
    <w:rsid w:val="16B639E5"/>
    <w:rsid w:val="16C66D56"/>
    <w:rsid w:val="16CF03A0"/>
    <w:rsid w:val="16DC42EB"/>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AF37F1"/>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A166C"/>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71E0B"/>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99182A"/>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43CA4"/>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B70DED"/>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1F818A6"/>
    <w:rsid w:val="32004033"/>
    <w:rsid w:val="320446AE"/>
    <w:rsid w:val="320A4216"/>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AB5338"/>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D01D68"/>
    <w:rsid w:val="35E01C31"/>
    <w:rsid w:val="35EC5849"/>
    <w:rsid w:val="35F01DB8"/>
    <w:rsid w:val="361E3FF0"/>
    <w:rsid w:val="36217702"/>
    <w:rsid w:val="3636193C"/>
    <w:rsid w:val="363C5A28"/>
    <w:rsid w:val="363F55FC"/>
    <w:rsid w:val="366332A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416D2"/>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A3976"/>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7A1E5E"/>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74C0B"/>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3E167C"/>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8740CB"/>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092CA1"/>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3478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C1021"/>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A75279"/>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5DCD"/>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851267"/>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BD4E4C"/>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97C79"/>
    <w:rsid w:val="5FFC340C"/>
    <w:rsid w:val="5FFD7A23"/>
    <w:rsid w:val="60092439"/>
    <w:rsid w:val="60100C32"/>
    <w:rsid w:val="60157C85"/>
    <w:rsid w:val="60234361"/>
    <w:rsid w:val="602F0189"/>
    <w:rsid w:val="603F3DC0"/>
    <w:rsid w:val="605A7EBB"/>
    <w:rsid w:val="605C4AA4"/>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A5122"/>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3E43B08"/>
    <w:rsid w:val="640514FD"/>
    <w:rsid w:val="64111C9B"/>
    <w:rsid w:val="64176F7B"/>
    <w:rsid w:val="6420062C"/>
    <w:rsid w:val="642462A8"/>
    <w:rsid w:val="64436AB5"/>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21135"/>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2F3EE1"/>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871A65"/>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56BFD"/>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7786B"/>
    <w:rsid w:val="71AA681E"/>
    <w:rsid w:val="71B016AC"/>
    <w:rsid w:val="71C547D9"/>
    <w:rsid w:val="71E20747"/>
    <w:rsid w:val="71E362CD"/>
    <w:rsid w:val="71EF6A36"/>
    <w:rsid w:val="71F14DD3"/>
    <w:rsid w:val="71F67B98"/>
    <w:rsid w:val="71F84532"/>
    <w:rsid w:val="72125FB1"/>
    <w:rsid w:val="721B1B5D"/>
    <w:rsid w:val="722C49E1"/>
    <w:rsid w:val="722F3E76"/>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330BF"/>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956F6"/>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BB630D"/>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418D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E83600"/>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6"/>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autoRedefine/>
    <w:semiHidden/>
    <w:qFormat/>
    <w:uiPriority w:val="99"/>
    <w:pPr>
      <w:jc w:val="left"/>
    </w:pPr>
    <w:rPr>
      <w:rFonts w:eastAsia="楷体_GB2312"/>
      <w:sz w:val="26"/>
      <w:szCs w:val="20"/>
    </w:rPr>
  </w:style>
  <w:style w:type="paragraph" w:styleId="8">
    <w:name w:val="Body Text"/>
    <w:basedOn w:val="1"/>
    <w:next w:val="1"/>
    <w:link w:val="41"/>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7"/>
    <w:autoRedefine/>
    <w:qFormat/>
    <w:locked/>
    <w:uiPriority w:val="0"/>
    <w:rPr>
      <w:rFonts w:ascii="宋体" w:hAnsi="Courier New"/>
      <w:kern w:val="0"/>
      <w:sz w:val="20"/>
      <w:szCs w:val="20"/>
    </w:rPr>
  </w:style>
  <w:style w:type="paragraph" w:styleId="11">
    <w:name w:val="Date"/>
    <w:basedOn w:val="1"/>
    <w:next w:val="1"/>
    <w:link w:val="51"/>
    <w:autoRedefine/>
    <w:qFormat/>
    <w:uiPriority w:val="99"/>
    <w:rPr>
      <w:rFonts w:ascii="宋体" w:hAnsi="宋体" w:eastAsia="楷体_GB2312"/>
      <w:sz w:val="24"/>
      <w:szCs w:val="20"/>
    </w:rPr>
  </w:style>
  <w:style w:type="paragraph" w:styleId="12">
    <w:name w:val="Balloon Text"/>
    <w:basedOn w:val="1"/>
    <w:link w:val="43"/>
    <w:autoRedefine/>
    <w:qFormat/>
    <w:uiPriority w:val="99"/>
    <w:rPr>
      <w:rFonts w:eastAsia="楷体_GB2312"/>
      <w:sz w:val="18"/>
      <w:szCs w:val="20"/>
    </w:rPr>
  </w:style>
  <w:style w:type="paragraph" w:styleId="13">
    <w:name w:val="footer"/>
    <w:basedOn w:val="1"/>
    <w:link w:val="44"/>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8"/>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4"/>
    <w:basedOn w:val="1"/>
    <w:next w:val="1"/>
    <w:autoRedefine/>
    <w:qFormat/>
    <w:uiPriority w:val="0"/>
    <w:pPr>
      <w:ind w:left="1260"/>
    </w:pPr>
  </w:style>
  <w:style w:type="paragraph" w:styleId="16">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7">
    <w:name w:val="Normal (Web)"/>
    <w:basedOn w:val="1"/>
    <w:autoRedefine/>
    <w:semiHidden/>
    <w:unhideWhenUsed/>
    <w:qFormat/>
    <w:locked/>
    <w:uiPriority w:val="99"/>
    <w:rPr>
      <w:sz w:val="24"/>
    </w:rPr>
  </w:style>
  <w:style w:type="paragraph" w:styleId="18">
    <w:name w:val="index 1"/>
    <w:basedOn w:val="1"/>
    <w:next w:val="1"/>
    <w:autoRedefine/>
    <w:semiHidden/>
    <w:qFormat/>
    <w:uiPriority w:val="99"/>
    <w:rPr>
      <w:rFonts w:eastAsia="楷体_GB2312"/>
      <w:sz w:val="26"/>
      <w:szCs w:val="20"/>
    </w:rPr>
  </w:style>
  <w:style w:type="paragraph" w:styleId="19">
    <w:name w:val="annotation subject"/>
    <w:basedOn w:val="7"/>
    <w:next w:val="7"/>
    <w:link w:val="40"/>
    <w:autoRedefine/>
    <w:semiHidden/>
    <w:qFormat/>
    <w:uiPriority w:val="99"/>
    <w:rPr>
      <w:b/>
      <w:bCs/>
    </w:rPr>
  </w:style>
  <w:style w:type="paragraph" w:styleId="20">
    <w:name w:val="Body Text First Indent"/>
    <w:basedOn w:val="8"/>
    <w:autoRedefine/>
    <w:unhideWhenUsed/>
    <w:qFormat/>
    <w:locked/>
    <w:uiPriority w:val="99"/>
    <w:pPr>
      <w:ind w:firstLine="420" w:firstLineChars="100"/>
    </w:pPr>
  </w:style>
  <w:style w:type="paragraph" w:styleId="21">
    <w:name w:val="Body Text First Indent 2"/>
    <w:basedOn w:val="1"/>
    <w:next w:val="1"/>
    <w:autoRedefine/>
    <w:qFormat/>
    <w:locked/>
    <w:uiPriority w:val="0"/>
    <w:pPr>
      <w:ind w:firstLine="420" w:firstLineChars="200"/>
    </w:p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99"/>
    <w:rPr>
      <w:rFonts w:cs="Times New Roman"/>
      <w:b/>
    </w:rPr>
  </w:style>
  <w:style w:type="character" w:styleId="26">
    <w:name w:val="page number"/>
    <w:basedOn w:val="24"/>
    <w:autoRedefine/>
    <w:qFormat/>
    <w:uiPriority w:val="99"/>
    <w:rPr>
      <w:rFonts w:cs="Times New Roman"/>
    </w:rPr>
  </w:style>
  <w:style w:type="character" w:styleId="27">
    <w:name w:val="FollowedHyperlink"/>
    <w:basedOn w:val="24"/>
    <w:autoRedefine/>
    <w:qFormat/>
    <w:uiPriority w:val="99"/>
    <w:rPr>
      <w:rFonts w:cs="Times New Roman"/>
      <w:color w:val="800080"/>
      <w:u w:val="single"/>
    </w:rPr>
  </w:style>
  <w:style w:type="character" w:styleId="28">
    <w:name w:val="Hyperlink"/>
    <w:basedOn w:val="24"/>
    <w:autoRedefine/>
    <w:qFormat/>
    <w:uiPriority w:val="99"/>
    <w:rPr>
      <w:rFonts w:cs="Times New Roman"/>
      <w:color w:val="0000FF"/>
      <w:u w:val="single"/>
    </w:rPr>
  </w:style>
  <w:style w:type="character" w:styleId="29">
    <w:name w:val="annotation reference"/>
    <w:basedOn w:val="24"/>
    <w:autoRedefine/>
    <w:semiHidden/>
    <w:qFormat/>
    <w:uiPriority w:val="99"/>
    <w:rPr>
      <w:rFonts w:cs="Times New Roman"/>
      <w:sz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2">
    <w:name w:val="标题 1 Char"/>
    <w:basedOn w:val="24"/>
    <w:link w:val="2"/>
    <w:autoRedefine/>
    <w:qFormat/>
    <w:locked/>
    <w:uiPriority w:val="99"/>
    <w:rPr>
      <w:rFonts w:cs="Times New Roman"/>
      <w:b/>
      <w:bCs/>
      <w:kern w:val="44"/>
      <w:sz w:val="44"/>
      <w:szCs w:val="44"/>
    </w:rPr>
  </w:style>
  <w:style w:type="character" w:customStyle="1" w:styleId="33">
    <w:name w:val="标题 2 Char"/>
    <w:basedOn w:val="24"/>
    <w:link w:val="3"/>
    <w:autoRedefine/>
    <w:semiHidden/>
    <w:qFormat/>
    <w:locked/>
    <w:uiPriority w:val="99"/>
    <w:rPr>
      <w:rFonts w:ascii="Cambria" w:hAnsi="Cambria" w:eastAsia="宋体" w:cs="Times New Roman"/>
      <w:b/>
      <w:bCs/>
      <w:sz w:val="32"/>
      <w:szCs w:val="32"/>
    </w:rPr>
  </w:style>
  <w:style w:type="character" w:customStyle="1" w:styleId="34">
    <w:name w:val="标题 3 Char"/>
    <w:basedOn w:val="24"/>
    <w:link w:val="4"/>
    <w:autoRedefine/>
    <w:semiHidden/>
    <w:qFormat/>
    <w:locked/>
    <w:uiPriority w:val="99"/>
    <w:rPr>
      <w:rFonts w:cs="Times New Roman"/>
      <w:b/>
      <w:bCs/>
      <w:sz w:val="32"/>
      <w:szCs w:val="32"/>
    </w:rPr>
  </w:style>
  <w:style w:type="character" w:customStyle="1" w:styleId="35">
    <w:name w:val="style21"/>
    <w:autoRedefine/>
    <w:qFormat/>
    <w:uiPriority w:val="99"/>
    <w:rPr>
      <w:color w:val="0000A0"/>
      <w:sz w:val="33"/>
    </w:rPr>
  </w:style>
  <w:style w:type="character" w:customStyle="1" w:styleId="36">
    <w:name w:val="正文缩进 Char"/>
    <w:link w:val="5"/>
    <w:autoRedefine/>
    <w:qFormat/>
    <w:locked/>
    <w:uiPriority w:val="0"/>
    <w:rPr>
      <w:rFonts w:ascii="宋体" w:eastAsia="宋体"/>
      <w:sz w:val="24"/>
      <w:lang w:val="en-US" w:eastAsia="zh-CN"/>
    </w:rPr>
  </w:style>
  <w:style w:type="character" w:customStyle="1" w:styleId="37">
    <w:name w:val="dr"/>
    <w:basedOn w:val="24"/>
    <w:autoRedefine/>
    <w:qFormat/>
    <w:uiPriority w:val="99"/>
    <w:rPr>
      <w:rFonts w:cs="Times New Roman"/>
    </w:rPr>
  </w:style>
  <w:style w:type="character" w:customStyle="1" w:styleId="38">
    <w:name w:val="页眉 Char"/>
    <w:basedOn w:val="24"/>
    <w:link w:val="14"/>
    <w:autoRedefine/>
    <w:semiHidden/>
    <w:qFormat/>
    <w:locked/>
    <w:uiPriority w:val="99"/>
    <w:rPr>
      <w:rFonts w:cs="Times New Roman"/>
      <w:sz w:val="18"/>
      <w:szCs w:val="18"/>
    </w:rPr>
  </w:style>
  <w:style w:type="character" w:customStyle="1" w:styleId="39">
    <w:name w:val="批注文字 Char"/>
    <w:basedOn w:val="24"/>
    <w:link w:val="7"/>
    <w:autoRedefine/>
    <w:semiHidden/>
    <w:qFormat/>
    <w:locked/>
    <w:uiPriority w:val="99"/>
    <w:rPr>
      <w:rFonts w:cs="Times New Roman"/>
      <w:sz w:val="24"/>
      <w:szCs w:val="24"/>
    </w:rPr>
  </w:style>
  <w:style w:type="character" w:customStyle="1" w:styleId="40">
    <w:name w:val="批注主题 Char"/>
    <w:basedOn w:val="39"/>
    <w:link w:val="19"/>
    <w:autoRedefine/>
    <w:semiHidden/>
    <w:qFormat/>
    <w:locked/>
    <w:uiPriority w:val="99"/>
    <w:rPr>
      <w:rFonts w:cs="Times New Roman"/>
      <w:b/>
      <w:bCs/>
      <w:sz w:val="24"/>
      <w:szCs w:val="24"/>
    </w:rPr>
  </w:style>
  <w:style w:type="character" w:customStyle="1" w:styleId="41">
    <w:name w:val="正文文本 Char"/>
    <w:basedOn w:val="24"/>
    <w:link w:val="8"/>
    <w:semiHidden/>
    <w:qFormat/>
    <w:locked/>
    <w:uiPriority w:val="99"/>
    <w:rPr>
      <w:rFonts w:cs="Times New Roman"/>
      <w:sz w:val="24"/>
      <w:szCs w:val="24"/>
    </w:rPr>
  </w:style>
  <w:style w:type="character" w:customStyle="1" w:styleId="42">
    <w:name w:val="日期 字符"/>
    <w:basedOn w:val="24"/>
    <w:link w:val="11"/>
    <w:autoRedefine/>
    <w:semiHidden/>
    <w:qFormat/>
    <w:locked/>
    <w:uiPriority w:val="99"/>
    <w:rPr>
      <w:rFonts w:cs="Times New Roman"/>
      <w:sz w:val="24"/>
      <w:szCs w:val="24"/>
    </w:rPr>
  </w:style>
  <w:style w:type="character" w:customStyle="1" w:styleId="43">
    <w:name w:val="批注框文本 Char"/>
    <w:basedOn w:val="24"/>
    <w:link w:val="12"/>
    <w:autoRedefine/>
    <w:semiHidden/>
    <w:qFormat/>
    <w:locked/>
    <w:uiPriority w:val="99"/>
    <w:rPr>
      <w:rFonts w:cs="Times New Roman"/>
      <w:sz w:val="2"/>
    </w:rPr>
  </w:style>
  <w:style w:type="character" w:customStyle="1" w:styleId="44">
    <w:name w:val="页脚 Char"/>
    <w:basedOn w:val="24"/>
    <w:link w:val="13"/>
    <w:semiHidden/>
    <w:qFormat/>
    <w:locked/>
    <w:uiPriority w:val="99"/>
    <w:rPr>
      <w:rFonts w:cs="Times New Roman"/>
      <w:sz w:val="18"/>
      <w:szCs w:val="18"/>
    </w:rPr>
  </w:style>
  <w:style w:type="paragraph" w:customStyle="1" w:styleId="45">
    <w:name w:val="Char Char Char1 Char Char Char Char Char Char Char Char Char Char"/>
    <w:basedOn w:val="1"/>
    <w:autoRedefine/>
    <w:qFormat/>
    <w:uiPriority w:val="99"/>
    <w:rPr>
      <w:rFonts w:ascii="Tahoma" w:hAnsi="Tahoma"/>
      <w:sz w:val="24"/>
      <w:szCs w:val="20"/>
    </w:rPr>
  </w:style>
  <w:style w:type="paragraph" w:customStyle="1" w:styleId="46">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7">
    <w:name w:val="Char"/>
    <w:basedOn w:val="1"/>
    <w:autoRedefine/>
    <w:qFormat/>
    <w:uiPriority w:val="99"/>
    <w:pPr>
      <w:tabs>
        <w:tab w:val="left" w:pos="360"/>
      </w:tabs>
    </w:pPr>
    <w:rPr>
      <w:sz w:val="24"/>
    </w:rPr>
  </w:style>
  <w:style w:type="paragraph" w:customStyle="1" w:styleId="48">
    <w:name w:val="Í¼¡À¡¡¡¡¡¡¡¡¡¡¡¡¡§¬¬¬¬¬¬ªÕýÎÄ"/>
    <w:basedOn w:val="1"/>
    <w:next w:val="5"/>
    <w:qFormat/>
    <w:uiPriority w:val="99"/>
    <w:pPr>
      <w:ind w:firstLine="420" w:firstLineChars="200"/>
    </w:pPr>
    <w:rPr>
      <w:sz w:val="24"/>
      <w:szCs w:val="20"/>
    </w:rPr>
  </w:style>
  <w:style w:type="paragraph" w:customStyle="1" w:styleId="49">
    <w:name w:val="列出段落1"/>
    <w:basedOn w:val="1"/>
    <w:autoRedefine/>
    <w:qFormat/>
    <w:uiPriority w:val="99"/>
    <w:pPr>
      <w:ind w:firstLine="420" w:firstLineChars="200"/>
    </w:pPr>
    <w:rPr>
      <w:rFonts w:ascii="Calibri" w:hAnsi="Calibri"/>
      <w:szCs w:val="22"/>
    </w:rPr>
  </w:style>
  <w:style w:type="paragraph" w:customStyle="1" w:styleId="50">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Char"/>
    <w:basedOn w:val="24"/>
    <w:link w:val="11"/>
    <w:autoRedefine/>
    <w:qFormat/>
    <w:uiPriority w:val="0"/>
    <w:rPr>
      <w:rFonts w:hint="default" w:ascii="Times New Roman" w:hAnsi="Times New Roman" w:cs="Times New Roman"/>
      <w:sz w:val="24"/>
    </w:rPr>
  </w:style>
  <w:style w:type="character" w:customStyle="1" w:styleId="52">
    <w:name w:val="font11"/>
    <w:basedOn w:val="24"/>
    <w:autoRedefine/>
    <w:qFormat/>
    <w:uiPriority w:val="99"/>
    <w:rPr>
      <w:rFonts w:ascii="Times New Roman" w:hAnsi="Times New Roman" w:cs="Times New Roman"/>
      <w:color w:val="000000"/>
      <w:sz w:val="22"/>
      <w:szCs w:val="22"/>
      <w:u w:val="none"/>
    </w:rPr>
  </w:style>
  <w:style w:type="character" w:customStyle="1" w:styleId="53">
    <w:name w:val="font01"/>
    <w:basedOn w:val="24"/>
    <w:autoRedefine/>
    <w:qFormat/>
    <w:uiPriority w:val="99"/>
    <w:rPr>
      <w:rFonts w:ascii="Times New Roman" w:hAnsi="Times New Roman" w:cs="Times New Roman"/>
      <w:color w:val="000000"/>
      <w:sz w:val="22"/>
      <w:szCs w:val="22"/>
      <w:u w:val="none"/>
      <w:vertAlign w:val="superscript"/>
    </w:rPr>
  </w:style>
  <w:style w:type="character" w:customStyle="1" w:styleId="54">
    <w:name w:val="font51"/>
    <w:basedOn w:val="24"/>
    <w:autoRedefine/>
    <w:qFormat/>
    <w:uiPriority w:val="99"/>
    <w:rPr>
      <w:rFonts w:ascii="Times New Roman" w:hAnsi="Times New Roman" w:cs="Times New Roman"/>
      <w:color w:val="000000"/>
      <w:sz w:val="22"/>
      <w:szCs w:val="22"/>
      <w:u w:val="none"/>
    </w:rPr>
  </w:style>
  <w:style w:type="paragraph" w:customStyle="1" w:styleId="55">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autoRedefine/>
    <w:unhideWhenUsed/>
    <w:qFormat/>
    <w:uiPriority w:val="99"/>
    <w:pPr>
      <w:ind w:firstLine="420" w:firstLineChars="200"/>
    </w:pPr>
  </w:style>
  <w:style w:type="character" w:customStyle="1" w:styleId="57">
    <w:name w:val="纯文本 Char"/>
    <w:basedOn w:val="24"/>
    <w:link w:val="10"/>
    <w:autoRedefine/>
    <w:qFormat/>
    <w:uiPriority w:val="0"/>
    <w:rPr>
      <w:rFonts w:ascii="宋体" w:hAnsi="Courier New"/>
    </w:rPr>
  </w:style>
  <w:style w:type="paragraph" w:customStyle="1" w:styleId="58">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4"/>
    <w:autoRedefine/>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1">
    <w:name w:val="纯文本2"/>
    <w:next w:val="15"/>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42"/>
    <customShpInfo spid="_x0000_s1044"/>
    <customShpInfo spid="_x0000_s1045"/>
    <customShpInfo spid="_x0000_s1043"/>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12</TotalTime>
  <ScaleCrop>false</ScaleCrop>
  <LinksUpToDate>false</LinksUpToDate>
  <CharactersWithSpaces>21428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2020-08-20T00:50:00Z</cp:lastPrinted>
  <dcterms:modified xsi:type="dcterms:W3CDTF">2024-03-19T07:44:25Z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B982673050C646619A701587335A7072_12</vt:lpwstr>
  </property>
</Properties>
</file>