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ascii="宋体" w:hAnsi="宋体" w:cs="宋体"/>
          <w:b/>
          <w:color w:val="auto"/>
          <w:sz w:val="72"/>
          <w:highlight w:val="none"/>
        </w:rPr>
      </w:pPr>
    </w:p>
    <w:p>
      <w:pPr>
        <w:overflowPunct w:val="0"/>
        <w:spacing w:line="360" w:lineRule="auto"/>
        <w:jc w:val="center"/>
        <w:rPr>
          <w:rFonts w:ascii="宋体" w:hAnsi="宋体" w:cs="宋体"/>
          <w:b/>
          <w:color w:val="auto"/>
          <w:sz w:val="72"/>
          <w:highlight w:val="none"/>
        </w:rPr>
      </w:pPr>
    </w:p>
    <w:p>
      <w:pPr>
        <w:overflowPunct w:val="0"/>
        <w:spacing w:line="360" w:lineRule="auto"/>
        <w:jc w:val="center"/>
        <w:rPr>
          <w:rFonts w:hint="eastAsia" w:ascii="宋体" w:hAnsi="宋体" w:eastAsia="宋体" w:cs="宋体"/>
          <w:b/>
          <w:color w:val="auto"/>
          <w:sz w:val="72"/>
          <w:highlight w:val="none"/>
          <w:lang w:eastAsia="zh-CN"/>
        </w:rPr>
      </w:pPr>
      <w:r>
        <w:rPr>
          <w:rFonts w:hint="eastAsia" w:ascii="宋体" w:hAnsi="宋体" w:cs="宋体"/>
          <w:b/>
          <w:color w:val="auto"/>
          <w:sz w:val="72"/>
          <w:highlight w:val="none"/>
          <w:lang w:eastAsia="zh-CN"/>
        </w:rPr>
        <w:t>单一来源采购文件</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720" w:lineRule="auto"/>
        <w:ind w:firstLine="1084" w:firstLineChars="300"/>
        <w:rPr>
          <w:rFonts w:ascii="宋体" w:hAnsi="宋体" w:cs="宋体"/>
          <w:b/>
          <w:color w:val="auto"/>
          <w:sz w:val="36"/>
          <w:highlight w:val="none"/>
        </w:rPr>
      </w:pPr>
    </w:p>
    <w:p>
      <w:pPr>
        <w:overflowPunct w:val="0"/>
        <w:spacing w:line="720" w:lineRule="auto"/>
        <w:ind w:firstLine="1084" w:firstLineChars="300"/>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编    号：</w:t>
      </w:r>
      <w:r>
        <w:rPr>
          <w:rFonts w:hint="eastAsia" w:ascii="宋体" w:hAnsi="宋体" w:cs="宋体"/>
          <w:b/>
          <w:color w:val="auto"/>
          <w:sz w:val="36"/>
          <w:highlight w:val="none"/>
          <w:lang w:val="en-US" w:eastAsia="zh-CN"/>
        </w:rPr>
        <w:t>XHDY2024002</w:t>
      </w:r>
    </w:p>
    <w:p>
      <w:pPr>
        <w:overflowPunct w:val="0"/>
        <w:spacing w:line="720" w:lineRule="auto"/>
        <w:ind w:firstLine="1084" w:firstLineChars="300"/>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采购单位：</w:t>
      </w:r>
      <w:r>
        <w:rPr>
          <w:rFonts w:hint="eastAsia" w:ascii="宋体" w:hAnsi="宋体" w:cs="宋体"/>
          <w:b/>
          <w:color w:val="auto"/>
          <w:sz w:val="36"/>
          <w:highlight w:val="none"/>
          <w:lang w:val="en-US" w:eastAsia="zh-CN"/>
        </w:rPr>
        <w:t>常州市新北区奔牛人民医院</w:t>
      </w:r>
    </w:p>
    <w:p>
      <w:pPr>
        <w:overflowPunct w:val="0"/>
        <w:spacing w:line="720" w:lineRule="auto"/>
        <w:ind w:left="2884" w:leftChars="513" w:hanging="1807" w:hangingChars="500"/>
        <w:jc w:val="both"/>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采购内容：奔牛人民医院剪切波组织定量超声诊断仪授权模块采购项目</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常州</w:t>
      </w:r>
      <w:r>
        <w:rPr>
          <w:rFonts w:hint="eastAsia" w:ascii="宋体" w:hAnsi="宋体" w:cs="宋体"/>
          <w:b/>
          <w:color w:val="auto"/>
          <w:sz w:val="36"/>
          <w:highlight w:val="none"/>
          <w:lang w:eastAsia="zh-CN"/>
        </w:rPr>
        <w:t>新禾</w:t>
      </w:r>
      <w:r>
        <w:rPr>
          <w:rFonts w:hint="eastAsia" w:ascii="宋体" w:hAnsi="宋体" w:cs="宋体"/>
          <w:b/>
          <w:color w:val="auto"/>
          <w:sz w:val="36"/>
          <w:highlight w:val="none"/>
        </w:rPr>
        <w:t>招投标有限公司</w:t>
      </w:r>
    </w:p>
    <w:p>
      <w:pPr>
        <w:overflowPunct w:val="0"/>
        <w:spacing w:line="360" w:lineRule="auto"/>
        <w:jc w:val="center"/>
        <w:rPr>
          <w:rFonts w:ascii="宋体" w:hAnsi="宋体" w:cs="宋体"/>
          <w:b/>
          <w:color w:val="auto"/>
          <w:sz w:val="36"/>
          <w:highlight w:val="none"/>
        </w:rPr>
        <w:sectPr>
          <w:headerReference r:id="rId3" w:type="default"/>
          <w:pgSz w:w="11906" w:h="16838"/>
          <w:pgMar w:top="1440" w:right="1080" w:bottom="1440" w:left="1080" w:header="851" w:footer="992" w:gutter="0"/>
          <w:cols w:space="720" w:num="1"/>
          <w:docGrid w:type="lines" w:linePitch="312" w:charSpace="0"/>
        </w:sectPr>
      </w:pPr>
      <w:r>
        <w:rPr>
          <w:rFonts w:hint="eastAsia" w:ascii="宋体" w:hAnsi="宋体" w:cs="宋体"/>
          <w:b/>
          <w:color w:val="auto"/>
          <w:sz w:val="36"/>
          <w:highlight w:val="none"/>
          <w:lang w:eastAsia="zh-CN"/>
        </w:rPr>
        <w:t>二〇二</w:t>
      </w:r>
      <w:r>
        <w:rPr>
          <w:rFonts w:hint="eastAsia" w:ascii="宋体" w:hAnsi="宋体" w:cs="宋体"/>
          <w:b/>
          <w:color w:val="auto"/>
          <w:sz w:val="36"/>
          <w:highlight w:val="none"/>
          <w:lang w:val="en-US" w:eastAsia="zh-CN"/>
        </w:rPr>
        <w:t>四</w:t>
      </w:r>
      <w:r>
        <w:rPr>
          <w:rFonts w:hint="eastAsia" w:ascii="宋体" w:hAnsi="宋体" w:cs="宋体"/>
          <w:b/>
          <w:color w:val="auto"/>
          <w:sz w:val="36"/>
          <w:highlight w:val="none"/>
          <w:lang w:eastAsia="zh-CN"/>
        </w:rPr>
        <w:t>年</w:t>
      </w:r>
      <w:r>
        <w:rPr>
          <w:rFonts w:hint="eastAsia" w:ascii="宋体" w:hAnsi="宋体" w:cs="宋体"/>
          <w:b/>
          <w:color w:val="auto"/>
          <w:sz w:val="36"/>
          <w:highlight w:val="none"/>
          <w:lang w:val="en-US" w:eastAsia="zh-CN"/>
        </w:rPr>
        <w:t>三</w:t>
      </w:r>
      <w:r>
        <w:rPr>
          <w:rFonts w:hint="eastAsia" w:ascii="宋体" w:hAnsi="宋体" w:cs="宋体"/>
          <w:b/>
          <w:color w:val="auto"/>
          <w:sz w:val="36"/>
          <w:highlight w:val="none"/>
        </w:rPr>
        <w:t>月</w:t>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lang w:val="en-US" w:eastAsia="zh-CN"/>
        </w:rPr>
        <w:t>第一章  单一来源谈判邀请</w:t>
      </w:r>
    </w:p>
    <w:p>
      <w:pPr>
        <w:adjustRightInd w:val="0"/>
        <w:snapToGrid w:val="0"/>
        <w:spacing w:line="360" w:lineRule="auto"/>
        <w:ind w:firstLine="480" w:firstLineChars="200"/>
        <w:rPr>
          <w:rFonts w:hint="eastAsia" w:ascii="宋体" w:hAnsi="宋体" w:cs="宋体"/>
          <w:b w:val="0"/>
          <w:bCs w:val="0"/>
          <w:sz w:val="24"/>
        </w:rPr>
      </w:pPr>
      <w:r>
        <w:rPr>
          <w:rFonts w:hint="eastAsia" w:ascii="宋体" w:hAnsi="宋体" w:cs="宋体"/>
          <w:b w:val="0"/>
          <w:bCs w:val="0"/>
          <w:sz w:val="24"/>
          <w:lang w:eastAsia="zh-CN"/>
        </w:rPr>
        <w:t>常州新禾招投标有限公司</w:t>
      </w:r>
      <w:r>
        <w:rPr>
          <w:rFonts w:hint="eastAsia" w:ascii="宋体" w:hAnsi="宋体" w:cs="宋体"/>
          <w:b w:val="0"/>
          <w:bCs w:val="0"/>
          <w:sz w:val="24"/>
        </w:rPr>
        <w:t>受</w:t>
      </w:r>
      <w:r>
        <w:rPr>
          <w:rFonts w:hint="eastAsia" w:ascii="宋体" w:hAnsi="宋体" w:cs="宋体"/>
          <w:b w:val="0"/>
          <w:bCs w:val="0"/>
          <w:sz w:val="24"/>
          <w:u w:val="single"/>
          <w:lang w:val="en-US" w:eastAsia="zh-CN"/>
        </w:rPr>
        <w:t>常州市新北区奔牛人民医院</w:t>
      </w:r>
      <w:r>
        <w:rPr>
          <w:rFonts w:hint="eastAsia" w:ascii="宋体" w:hAnsi="宋体" w:cs="宋体"/>
          <w:b w:val="0"/>
          <w:bCs w:val="0"/>
          <w:sz w:val="24"/>
        </w:rPr>
        <w:t>的委托，对</w:t>
      </w:r>
      <w:r>
        <w:rPr>
          <w:rFonts w:hint="eastAsia" w:ascii="宋体" w:hAnsi="宋体" w:cs="宋体"/>
          <w:b w:val="0"/>
          <w:bCs/>
          <w:sz w:val="24"/>
          <w:szCs w:val="24"/>
          <w:u w:val="single"/>
          <w:lang w:val="en-US" w:eastAsia="zh-CN"/>
        </w:rPr>
        <w:t>奔牛人民医院剪切波组织定量超声诊断仪授权模块采购</w:t>
      </w:r>
      <w:r>
        <w:rPr>
          <w:rFonts w:hint="eastAsia" w:ascii="宋体" w:hAnsi="宋体" w:cs="宋体"/>
          <w:b w:val="0"/>
          <w:bCs w:val="0"/>
          <w:sz w:val="24"/>
        </w:rPr>
        <w:t>项目进行采购，兹邀请</w:t>
      </w:r>
      <w:r>
        <w:rPr>
          <w:rFonts w:hint="eastAsia" w:ascii="宋体" w:hAnsi="宋体" w:cs="宋体"/>
          <w:b w:val="0"/>
          <w:bCs w:val="0"/>
          <w:sz w:val="24"/>
          <w:u w:val="single"/>
        </w:rPr>
        <w:t>上药集团常州药业股份有限公司</w:t>
      </w:r>
      <w:r>
        <w:rPr>
          <w:rFonts w:hint="eastAsia" w:ascii="宋体" w:hAnsi="宋体" w:cs="宋体"/>
          <w:b w:val="0"/>
          <w:bCs w:val="0"/>
          <w:sz w:val="24"/>
          <w:u w:val="single"/>
          <w:lang w:val="en-US" w:eastAsia="zh-CN"/>
        </w:rPr>
        <w:t xml:space="preserve">        </w:t>
      </w:r>
      <w:r>
        <w:rPr>
          <w:rFonts w:hint="eastAsia" w:ascii="宋体" w:hAnsi="宋体" w:cs="宋体"/>
          <w:b w:val="0"/>
          <w:bCs w:val="0"/>
          <w:sz w:val="24"/>
        </w:rPr>
        <w:t>参加报价和谈判。</w:t>
      </w:r>
    </w:p>
    <w:p>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pPr>
        <w:keepNext w:val="0"/>
        <w:keepLines w:val="0"/>
        <w:pageBreakBefore w:val="0"/>
        <w:widowControl w:val="0"/>
        <w:numPr>
          <w:ilvl w:val="0"/>
          <w:numId w:val="1"/>
        </w:numPr>
        <w:kinsoku/>
        <w:wordWrap/>
        <w:overflowPunct/>
        <w:topLinePunct w:val="0"/>
        <w:bidi w:val="0"/>
        <w:adjustRightInd w:val="0"/>
        <w:snapToGrid w:val="0"/>
        <w:spacing w:line="360" w:lineRule="auto"/>
        <w:ind w:left="425" w:leftChars="0" w:hanging="425" w:firstLineChars="0"/>
        <w:textAlignment w:val="auto"/>
        <w:rPr>
          <w:rFonts w:hint="default" w:ascii="宋体" w:hAnsi="宋体" w:eastAsia="宋体" w:cs="宋体"/>
          <w:b w:val="0"/>
          <w:bCs w:val="0"/>
          <w:sz w:val="24"/>
          <w:lang w:val="en-US" w:eastAsia="zh-CN"/>
        </w:rPr>
      </w:pPr>
      <w:r>
        <w:rPr>
          <w:rFonts w:hint="eastAsia" w:ascii="宋体" w:hAnsi="宋体" w:cs="宋体"/>
          <w:b w:val="0"/>
          <w:bCs w:val="0"/>
          <w:sz w:val="24"/>
        </w:rPr>
        <w:t>项目编号:</w:t>
      </w:r>
      <w:r>
        <w:rPr>
          <w:rFonts w:hint="eastAsia" w:ascii="宋体" w:hAnsi="宋体" w:cs="宋体"/>
          <w:b w:val="0"/>
          <w:bCs w:val="0"/>
          <w:sz w:val="24"/>
          <w:lang w:val="en-US" w:eastAsia="zh-CN"/>
        </w:rPr>
        <w:t>XHDY2024002</w:t>
      </w:r>
    </w:p>
    <w:p>
      <w:pPr>
        <w:keepNext w:val="0"/>
        <w:keepLines w:val="0"/>
        <w:pageBreakBefore w:val="0"/>
        <w:widowControl w:val="0"/>
        <w:numPr>
          <w:ilvl w:val="0"/>
          <w:numId w:val="1"/>
        </w:numPr>
        <w:kinsoku/>
        <w:wordWrap/>
        <w:overflowPunct/>
        <w:topLinePunct w:val="0"/>
        <w:bidi w:val="0"/>
        <w:adjustRightInd w:val="0"/>
        <w:snapToGrid w:val="0"/>
        <w:spacing w:line="360" w:lineRule="auto"/>
        <w:ind w:left="425" w:leftChars="0" w:hanging="425" w:firstLineChars="0"/>
        <w:textAlignment w:val="auto"/>
        <w:rPr>
          <w:rFonts w:ascii="宋体" w:hAnsi="宋体" w:cs="宋体"/>
          <w:b w:val="0"/>
          <w:bCs w:val="0"/>
          <w:sz w:val="24"/>
        </w:rPr>
      </w:pPr>
      <w:r>
        <w:rPr>
          <w:rFonts w:hint="eastAsia" w:ascii="宋体" w:hAnsi="宋体" w:cs="宋体"/>
          <w:b w:val="0"/>
          <w:bCs w:val="0"/>
          <w:sz w:val="24"/>
        </w:rPr>
        <w:t>项目名称:</w:t>
      </w:r>
      <w:r>
        <w:rPr>
          <w:rFonts w:hint="eastAsia" w:ascii="宋体" w:hAnsi="宋体" w:cs="宋体"/>
          <w:b w:val="0"/>
          <w:bCs/>
          <w:sz w:val="24"/>
          <w:szCs w:val="24"/>
          <w:u w:val="none"/>
          <w:lang w:val="en-US" w:eastAsia="zh-CN"/>
        </w:rPr>
        <w:t>剪切波组织定量超声诊断仪授权模块采购</w:t>
      </w:r>
      <w:r>
        <w:rPr>
          <w:rFonts w:hint="eastAsia" w:ascii="宋体" w:hAnsi="宋体" w:cs="宋体"/>
          <w:b w:val="0"/>
          <w:bCs w:val="0"/>
          <w:sz w:val="24"/>
          <w:u w:val="none"/>
        </w:rPr>
        <w:t>项目</w:t>
      </w:r>
    </w:p>
    <w:p>
      <w:pPr>
        <w:keepNext w:val="0"/>
        <w:keepLines w:val="0"/>
        <w:pageBreakBefore w:val="0"/>
        <w:widowControl w:val="0"/>
        <w:numPr>
          <w:ilvl w:val="0"/>
          <w:numId w:val="1"/>
        </w:numPr>
        <w:kinsoku/>
        <w:wordWrap/>
        <w:overflowPunct/>
        <w:topLinePunct w:val="0"/>
        <w:bidi w:val="0"/>
        <w:adjustRightInd w:val="0"/>
        <w:snapToGrid w:val="0"/>
        <w:spacing w:line="360" w:lineRule="auto"/>
        <w:ind w:left="425" w:leftChars="0" w:hanging="425" w:firstLineChars="0"/>
        <w:textAlignment w:val="auto"/>
        <w:rPr>
          <w:rFonts w:ascii="宋体" w:hAnsi="宋体" w:cs="宋体"/>
          <w:b w:val="0"/>
          <w:bCs w:val="0"/>
          <w:sz w:val="24"/>
        </w:rPr>
      </w:pPr>
      <w:r>
        <w:rPr>
          <w:rFonts w:hint="eastAsia" w:ascii="宋体" w:hAnsi="宋体" w:cs="宋体"/>
          <w:b w:val="0"/>
          <w:bCs w:val="0"/>
          <w:sz w:val="24"/>
        </w:rPr>
        <w:t>预算金额:</w:t>
      </w:r>
      <w:r>
        <w:rPr>
          <w:rFonts w:hint="eastAsia" w:ascii="宋体" w:hAnsi="宋体" w:cs="宋体"/>
          <w:b w:val="0"/>
          <w:bCs w:val="0"/>
          <w:sz w:val="24"/>
          <w:lang w:val="en-US" w:eastAsia="zh-CN"/>
        </w:rPr>
        <w:t>人民币24万</w:t>
      </w:r>
    </w:p>
    <w:p>
      <w:pPr>
        <w:keepNext w:val="0"/>
        <w:keepLines w:val="0"/>
        <w:pageBreakBefore w:val="0"/>
        <w:widowControl w:val="0"/>
        <w:numPr>
          <w:ilvl w:val="0"/>
          <w:numId w:val="1"/>
        </w:numPr>
        <w:kinsoku/>
        <w:wordWrap/>
        <w:overflowPunct/>
        <w:topLinePunct w:val="0"/>
        <w:bidi w:val="0"/>
        <w:adjustRightInd w:val="0"/>
        <w:snapToGrid w:val="0"/>
        <w:spacing w:line="360" w:lineRule="auto"/>
        <w:ind w:left="425" w:leftChars="0" w:hanging="425" w:firstLineChars="0"/>
        <w:textAlignment w:val="auto"/>
      </w:pPr>
      <w:r>
        <w:rPr>
          <w:rFonts w:hint="eastAsia" w:ascii="宋体" w:hAnsi="宋体" w:cs="宋体"/>
          <w:b w:val="0"/>
          <w:bCs w:val="0"/>
          <w:sz w:val="24"/>
        </w:rPr>
        <w:t>最高限价:</w:t>
      </w:r>
      <w:r>
        <w:rPr>
          <w:rFonts w:hint="eastAsia" w:ascii="宋体" w:hAnsi="宋体" w:cs="宋体"/>
          <w:b w:val="0"/>
          <w:bCs w:val="0"/>
          <w:sz w:val="24"/>
          <w:lang w:val="en-US" w:eastAsia="zh-CN"/>
        </w:rPr>
        <w:t>人民币24万</w:t>
      </w:r>
    </w:p>
    <w:p>
      <w:pPr>
        <w:keepNext w:val="0"/>
        <w:keepLines w:val="0"/>
        <w:pageBreakBefore w:val="0"/>
        <w:widowControl w:val="0"/>
        <w:numPr>
          <w:ilvl w:val="0"/>
          <w:numId w:val="1"/>
        </w:numPr>
        <w:kinsoku/>
        <w:wordWrap/>
        <w:overflowPunct/>
        <w:topLinePunct w:val="0"/>
        <w:bidi w:val="0"/>
        <w:adjustRightInd w:val="0"/>
        <w:snapToGrid w:val="0"/>
        <w:spacing w:line="360" w:lineRule="auto"/>
        <w:ind w:left="425" w:leftChars="0" w:hanging="425" w:firstLineChars="0"/>
        <w:textAlignment w:val="auto"/>
      </w:pPr>
      <w:r>
        <w:rPr>
          <w:rFonts w:hint="eastAsia" w:ascii="宋体" w:hAnsi="宋体" w:cs="宋体"/>
          <w:b w:val="0"/>
          <w:bCs w:val="0"/>
          <w:sz w:val="24"/>
          <w:lang w:val="en-US" w:eastAsia="zh-CN"/>
        </w:rPr>
        <w:t>预算单价</w:t>
      </w:r>
      <w:r>
        <w:rPr>
          <w:rFonts w:hint="eastAsia" w:ascii="宋体" w:hAnsi="宋体" w:cs="宋体"/>
          <w:b w:val="0"/>
          <w:bCs w:val="0"/>
          <w:sz w:val="24"/>
        </w:rPr>
        <w:t>:</w:t>
      </w:r>
      <w:r>
        <w:rPr>
          <w:rFonts w:hint="eastAsia" w:ascii="宋体" w:hAnsi="宋体" w:cs="宋体"/>
          <w:b w:val="0"/>
          <w:bCs w:val="0"/>
          <w:sz w:val="24"/>
          <w:lang w:val="en-US" w:eastAsia="zh-CN"/>
        </w:rPr>
        <w:t>人民币8万/个</w:t>
      </w:r>
    </w:p>
    <w:p>
      <w:pPr>
        <w:pStyle w:val="5"/>
        <w:keepNext w:val="0"/>
        <w:keepLines w:val="0"/>
        <w:pageBreakBefore w:val="0"/>
        <w:widowControl w:val="0"/>
        <w:numPr>
          <w:ilvl w:val="0"/>
          <w:numId w:val="1"/>
        </w:numPr>
        <w:kinsoku/>
        <w:wordWrap/>
        <w:overflowPunct/>
        <w:topLinePunct w:val="0"/>
        <w:bidi w:val="0"/>
        <w:snapToGrid w:val="0"/>
        <w:spacing w:line="360" w:lineRule="auto"/>
        <w:ind w:left="425" w:leftChars="0" w:hanging="425" w:firstLineChars="0"/>
        <w:textAlignment w:val="auto"/>
        <w:rPr>
          <w:rFonts w:hint="eastAsia" w:ascii="宋体" w:hAnsi="宋体" w:eastAsia="宋体" w:cs="宋体"/>
          <w:i w:val="0"/>
          <w:iCs w:val="0"/>
          <w:caps w:val="0"/>
          <w:spacing w:val="0"/>
          <w:sz w:val="24"/>
          <w:szCs w:val="24"/>
          <w:shd w:val="clear" w:color="auto" w:fill="auto"/>
        </w:rPr>
      </w:pPr>
      <w:r>
        <w:rPr>
          <w:rFonts w:hint="eastAsia" w:ascii="宋体" w:hAnsi="宋体"/>
          <w:color w:val="000000"/>
          <w:sz w:val="24"/>
        </w:rPr>
        <w:t>采购</w:t>
      </w:r>
      <w:r>
        <w:rPr>
          <w:rFonts w:hint="eastAsia" w:hAnsi="宋体"/>
          <w:color w:val="000000"/>
          <w:sz w:val="24"/>
          <w:lang w:val="en-US" w:eastAsia="zh-CN"/>
        </w:rPr>
        <w:t>需求</w:t>
      </w:r>
      <w:r>
        <w:rPr>
          <w:rFonts w:hint="eastAsia" w:hAnsi="宋体" w:cs="宋体"/>
          <w:b w:val="0"/>
          <w:bCs w:val="0"/>
        </w:rPr>
        <w:t>:</w:t>
      </w:r>
    </w:p>
    <w:p>
      <w:pPr>
        <w:pStyle w:val="5"/>
        <w:keepNext w:val="0"/>
        <w:keepLines w:val="0"/>
        <w:pageBreakBefore w:val="0"/>
        <w:widowControl w:val="0"/>
        <w:numPr>
          <w:ilvl w:val="0"/>
          <w:numId w:val="0"/>
        </w:numPr>
        <w:kinsoku/>
        <w:wordWrap/>
        <w:overflowPunct/>
        <w:topLinePunct w:val="0"/>
        <w:bidi w:val="0"/>
        <w:snapToGrid w:val="0"/>
        <w:spacing w:line="360" w:lineRule="auto"/>
        <w:ind w:leftChars="0" w:firstLine="480" w:firstLineChars="200"/>
        <w:textAlignment w:val="auto"/>
        <w:rPr>
          <w:rFonts w:hint="eastAsia"/>
          <w:sz w:val="24"/>
          <w:szCs w:val="24"/>
        </w:rPr>
      </w:pPr>
      <w:r>
        <w:rPr>
          <w:rFonts w:ascii="宋体" w:hAnsi="宋体" w:eastAsia="宋体" w:cs="宋体"/>
          <w:sz w:val="24"/>
          <w:szCs w:val="24"/>
        </w:rPr>
        <w:t>本项目为</w:t>
      </w:r>
      <w:r>
        <w:rPr>
          <w:rFonts w:hint="eastAsia" w:ascii="宋体" w:hAnsi="宋体" w:eastAsia="宋体" w:cs="宋体"/>
          <w:sz w:val="24"/>
          <w:szCs w:val="24"/>
          <w:lang w:val="en-US" w:eastAsia="zh-CN"/>
        </w:rPr>
        <w:t>1</w:t>
      </w:r>
      <w:r>
        <w:rPr>
          <w:rFonts w:ascii="宋体" w:hAnsi="宋体" w:eastAsia="宋体" w:cs="宋体"/>
          <w:sz w:val="24"/>
          <w:szCs w:val="24"/>
        </w:rPr>
        <w:t>个项目包，剪切波组织定量超声诊断仪</w:t>
      </w:r>
      <w:r>
        <w:rPr>
          <w:rFonts w:hint="eastAsia" w:ascii="宋体" w:hAnsi="宋体" w:eastAsia="宋体" w:cs="宋体"/>
          <w:sz w:val="24"/>
          <w:szCs w:val="24"/>
          <w:lang w:val="en-US" w:eastAsia="zh-CN"/>
        </w:rPr>
        <w:t>3</w:t>
      </w:r>
      <w:r>
        <w:rPr>
          <w:rFonts w:ascii="宋体" w:hAnsi="宋体" w:eastAsia="宋体" w:cs="宋体"/>
          <w:sz w:val="24"/>
          <w:szCs w:val="24"/>
        </w:rPr>
        <w:t>套。项目的交货地点、交货期要求、主要技术及服务要求等详见第三章货物需求及采购要求。</w:t>
      </w:r>
    </w:p>
    <w:p>
      <w:pPr>
        <w:pStyle w:val="5"/>
        <w:keepNext w:val="0"/>
        <w:keepLines w:val="0"/>
        <w:pageBreakBefore w:val="0"/>
        <w:widowControl w:val="0"/>
        <w:numPr>
          <w:ilvl w:val="0"/>
          <w:numId w:val="1"/>
        </w:numPr>
        <w:kinsoku/>
        <w:wordWrap/>
        <w:overflowPunct/>
        <w:topLinePunct w:val="0"/>
        <w:bidi w:val="0"/>
        <w:snapToGrid w:val="0"/>
        <w:spacing w:line="360" w:lineRule="auto"/>
        <w:ind w:left="425" w:leftChars="0" w:hanging="425" w:firstLineChars="0"/>
        <w:textAlignment w:val="auto"/>
        <w:rPr>
          <w:rFonts w:hint="eastAsia"/>
          <w:sz w:val="24"/>
          <w:szCs w:val="24"/>
        </w:rPr>
      </w:pPr>
      <w:r>
        <w:rPr>
          <w:rFonts w:hint="eastAsia"/>
          <w:sz w:val="24"/>
          <w:szCs w:val="24"/>
        </w:rPr>
        <w:t>本项目不接受联合体。</w:t>
      </w:r>
    </w:p>
    <w:p>
      <w:pPr>
        <w:keepNext w:val="0"/>
        <w:keepLines w:val="0"/>
        <w:pageBreakBefore w:val="0"/>
        <w:widowControl w:val="0"/>
        <w:numPr>
          <w:ilvl w:val="0"/>
          <w:numId w:val="2"/>
        </w:numPr>
        <w:kinsoku/>
        <w:wordWrap/>
        <w:overflowPunct/>
        <w:topLinePunct w:val="0"/>
        <w:bidi w:val="0"/>
        <w:adjustRightInd w:val="0"/>
        <w:snapToGrid w:val="0"/>
        <w:spacing w:line="360" w:lineRule="auto"/>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申请人的资格要求</w:t>
      </w:r>
    </w:p>
    <w:p>
      <w:pPr>
        <w:keepNext w:val="0"/>
        <w:keepLines w:val="0"/>
        <w:pageBreakBefore w:val="0"/>
        <w:widowControl w:val="0"/>
        <w:numPr>
          <w:ilvl w:val="0"/>
          <w:numId w:val="3"/>
        </w:numPr>
        <w:kinsoku/>
        <w:wordWrap/>
        <w:overflowPunct/>
        <w:topLinePunct w:val="0"/>
        <w:bidi w:val="0"/>
        <w:adjustRightInd w:val="0"/>
        <w:snapToGrid w:val="0"/>
        <w:spacing w:line="360" w:lineRule="auto"/>
        <w:textAlignment w:val="auto"/>
        <w:rPr>
          <w:rFonts w:hint="eastAsia" w:ascii="宋体" w:hAnsi="宋体" w:eastAsia="宋体" w:cs="宋体"/>
          <w:i w:val="0"/>
          <w:iCs w:val="0"/>
          <w:caps w:val="0"/>
          <w:spacing w:val="0"/>
          <w:sz w:val="24"/>
          <w:szCs w:val="24"/>
          <w:shd w:val="clear" w:color="auto" w:fill="auto"/>
        </w:rPr>
      </w:pPr>
      <w:r>
        <w:rPr>
          <w:rFonts w:hint="eastAsia" w:ascii="宋体" w:hAnsi="宋体" w:eastAsia="宋体" w:cs="宋体"/>
          <w:i w:val="0"/>
          <w:iCs w:val="0"/>
          <w:caps w:val="0"/>
          <w:spacing w:val="0"/>
          <w:sz w:val="24"/>
          <w:szCs w:val="24"/>
          <w:shd w:val="clear" w:color="auto" w:fill="auto"/>
          <w:lang w:val="en-US" w:eastAsia="zh-CN"/>
        </w:rPr>
        <w:t xml:space="preserve"> </w:t>
      </w:r>
      <w:r>
        <w:rPr>
          <w:rFonts w:hint="eastAsia" w:ascii="宋体" w:hAnsi="宋体" w:eastAsia="宋体" w:cs="宋体"/>
          <w:i w:val="0"/>
          <w:iCs w:val="0"/>
          <w:caps w:val="0"/>
          <w:spacing w:val="0"/>
          <w:sz w:val="24"/>
          <w:szCs w:val="24"/>
          <w:shd w:val="clear" w:color="auto" w:fill="auto"/>
        </w:rPr>
        <w:t xml:space="preserve">满足《中华人民共和国政府采购法》第二十二条规定； </w:t>
      </w:r>
    </w:p>
    <w:p>
      <w:pPr>
        <w:numPr>
          <w:ilvl w:val="0"/>
          <w:numId w:val="3"/>
        </w:numPr>
        <w:spacing w:line="360" w:lineRule="auto"/>
        <w:ind w:left="0" w:leftChars="0" w:firstLine="0" w:firstLineChars="0"/>
        <w:rPr>
          <w:rFonts w:hint="eastAsia" w:ascii="宋体" w:hAnsi="宋体" w:eastAsia="宋体" w:cs="宋体"/>
          <w:i w:val="0"/>
          <w:iCs w:val="0"/>
          <w:caps w:val="0"/>
          <w:spacing w:val="0"/>
          <w:sz w:val="24"/>
          <w:szCs w:val="24"/>
          <w:shd w:val="clear" w:color="auto" w:fill="auto"/>
        </w:rPr>
      </w:pPr>
      <w:r>
        <w:rPr>
          <w:rFonts w:hint="eastAsia" w:ascii="宋体" w:hAnsi="宋体" w:eastAsia="宋体" w:cs="宋体"/>
          <w:i w:val="0"/>
          <w:iCs w:val="0"/>
          <w:caps w:val="0"/>
          <w:spacing w:val="0"/>
          <w:sz w:val="24"/>
          <w:szCs w:val="24"/>
          <w:shd w:val="clear" w:color="auto" w:fill="auto"/>
          <w:lang w:val="en-US" w:eastAsia="zh-CN"/>
        </w:rPr>
        <w:t xml:space="preserve"> </w:t>
      </w:r>
      <w:r>
        <w:rPr>
          <w:rFonts w:hint="eastAsia" w:ascii="宋体" w:hAnsi="宋体" w:eastAsia="宋体" w:cs="宋体"/>
          <w:i w:val="0"/>
          <w:iCs w:val="0"/>
          <w:caps w:val="0"/>
          <w:spacing w:val="0"/>
          <w:sz w:val="24"/>
          <w:szCs w:val="24"/>
          <w:shd w:val="clear" w:color="auto" w:fill="auto"/>
        </w:rPr>
        <w:t xml:space="preserve">落实政府采购政策需满足的资格要求：无 </w:t>
      </w:r>
    </w:p>
    <w:p>
      <w:pPr>
        <w:numPr>
          <w:ilvl w:val="0"/>
          <w:numId w:val="3"/>
        </w:numPr>
        <w:spacing w:line="360" w:lineRule="auto"/>
        <w:ind w:left="0" w:leftChars="0" w:firstLine="0" w:firstLineChars="0"/>
        <w:rPr>
          <w:rFonts w:hint="eastAsia" w:ascii="宋体" w:hAnsi="宋体" w:eastAsia="宋体" w:cs="宋体"/>
          <w:i w:val="0"/>
          <w:iCs w:val="0"/>
          <w:caps w:val="0"/>
          <w:spacing w:val="0"/>
          <w:sz w:val="24"/>
          <w:szCs w:val="24"/>
          <w:shd w:val="clear" w:color="auto" w:fill="auto"/>
        </w:rPr>
      </w:pPr>
      <w:r>
        <w:rPr>
          <w:rFonts w:hint="eastAsia" w:ascii="宋体" w:hAnsi="宋体" w:eastAsia="宋体" w:cs="宋体"/>
          <w:i w:val="0"/>
          <w:iCs w:val="0"/>
          <w:caps w:val="0"/>
          <w:spacing w:val="0"/>
          <w:sz w:val="24"/>
          <w:szCs w:val="24"/>
          <w:shd w:val="clear" w:color="auto" w:fill="auto"/>
          <w:lang w:val="en-US" w:eastAsia="zh-CN"/>
        </w:rPr>
        <w:t xml:space="preserve"> </w:t>
      </w:r>
      <w:r>
        <w:rPr>
          <w:rFonts w:hint="eastAsia" w:ascii="宋体" w:hAnsi="宋体" w:eastAsia="宋体" w:cs="宋体"/>
          <w:i w:val="0"/>
          <w:iCs w:val="0"/>
          <w:caps w:val="0"/>
          <w:spacing w:val="0"/>
          <w:sz w:val="24"/>
          <w:szCs w:val="24"/>
          <w:shd w:val="clear" w:color="auto" w:fill="auto"/>
        </w:rPr>
        <w:t xml:space="preserve">本项目的特定资格要求： </w:t>
      </w:r>
    </w:p>
    <w:p>
      <w:pPr>
        <w:spacing w:line="360" w:lineRule="auto"/>
        <w:ind w:firstLine="240" w:firstLineChars="100"/>
        <w:rPr>
          <w:rFonts w:hint="eastAsia" w:ascii="宋体" w:hAnsi="宋体" w:eastAsia="宋体" w:cs="宋体"/>
          <w:i w:val="0"/>
          <w:iCs w:val="0"/>
          <w:caps w:val="0"/>
          <w:spacing w:val="0"/>
          <w:sz w:val="24"/>
          <w:szCs w:val="24"/>
          <w:shd w:val="clear" w:color="auto" w:fill="auto"/>
        </w:rPr>
      </w:pPr>
      <w:r>
        <w:rPr>
          <w:rFonts w:hint="eastAsia" w:ascii="宋体" w:hAnsi="宋体" w:eastAsia="宋体" w:cs="宋体"/>
          <w:i w:val="0"/>
          <w:iCs w:val="0"/>
          <w:caps w:val="0"/>
          <w:spacing w:val="0"/>
          <w:sz w:val="24"/>
          <w:szCs w:val="24"/>
          <w:shd w:val="clear" w:color="auto" w:fill="auto"/>
        </w:rPr>
        <w:t xml:space="preserve">（1）未被“信用中国”网站（www.creditchina.gov.cn）或“中国政府采购网”网站（www.ccgp.gov.cn）列入失信被执行人、重大税收违法案件当事人名单、政府采购严重失信行为记录名单； </w:t>
      </w:r>
    </w:p>
    <w:p>
      <w:pPr>
        <w:spacing w:line="360" w:lineRule="auto"/>
        <w:ind w:firstLine="240" w:firstLineChars="100"/>
        <w:rPr>
          <w:rFonts w:hint="eastAsia" w:ascii="宋体" w:hAnsi="宋体" w:eastAsia="宋体" w:cs="宋体"/>
          <w:i w:val="0"/>
          <w:iCs w:val="0"/>
          <w:caps w:val="0"/>
          <w:spacing w:val="0"/>
          <w:sz w:val="24"/>
          <w:szCs w:val="24"/>
          <w:shd w:val="clear" w:color="auto" w:fill="auto"/>
        </w:rPr>
      </w:pPr>
      <w:r>
        <w:rPr>
          <w:rFonts w:hint="eastAsia" w:ascii="宋体" w:hAnsi="宋体" w:eastAsia="宋体" w:cs="宋体"/>
          <w:i w:val="0"/>
          <w:iCs w:val="0"/>
          <w:caps w:val="0"/>
          <w:spacing w:val="0"/>
          <w:sz w:val="24"/>
          <w:szCs w:val="24"/>
          <w:shd w:val="clear" w:color="auto" w:fill="auto"/>
        </w:rPr>
        <w:t xml:space="preserve">（2）单位负责人为同一人或者存在直接控股、管理关系的不同供应商（包含法定代表人为同一个人的两个及两个以上法人，母公司、全资子公司及其控股公司），不得参加同一合同项下的政府采购活动。 </w:t>
      </w:r>
    </w:p>
    <w:p>
      <w:pPr>
        <w:spacing w:line="360" w:lineRule="auto"/>
        <w:ind w:firstLine="240" w:firstLineChars="100"/>
        <w:rPr>
          <w:rFonts w:hint="eastAsia" w:ascii="宋体" w:hAnsi="宋体" w:eastAsia="宋体" w:cs="宋体"/>
          <w:sz w:val="24"/>
          <w:szCs w:val="24"/>
          <w:shd w:val="clear" w:color="auto" w:fill="auto"/>
        </w:rPr>
      </w:pPr>
      <w:r>
        <w:rPr>
          <w:rFonts w:hint="eastAsia" w:ascii="宋体" w:hAnsi="宋体" w:eastAsia="宋体" w:cs="宋体"/>
          <w:i w:val="0"/>
          <w:iCs w:val="0"/>
          <w:caps w:val="0"/>
          <w:spacing w:val="0"/>
          <w:sz w:val="24"/>
          <w:szCs w:val="24"/>
          <w:shd w:val="clear" w:color="auto" w:fill="auto"/>
        </w:rPr>
        <w:t>（3）采购人的其他特定资格要求：无。</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、获取</w:t>
      </w:r>
      <w:r>
        <w:rPr>
          <w:rFonts w:hint="eastAsia" w:ascii="宋体" w:hAnsi="宋体" w:cs="宋体"/>
          <w:b/>
          <w:bCs/>
          <w:color w:val="auto"/>
          <w:sz w:val="24"/>
          <w:highlight w:val="none"/>
          <w:lang w:eastAsia="zh-CN"/>
        </w:rPr>
        <w:t>单一来源采购文件</w:t>
      </w:r>
    </w:p>
    <w:p>
      <w:pPr>
        <w:numPr>
          <w:ilvl w:val="0"/>
          <w:numId w:val="4"/>
        </w:numPr>
        <w:adjustRightInd w:val="0"/>
        <w:snapToGrid w:val="0"/>
        <w:spacing w:line="360" w:lineRule="auto"/>
        <w:ind w:left="425" w:leftChars="0" w:hanging="425" w:firstLineChars="0"/>
        <w:rPr>
          <w:rFonts w:hint="eastAsia" w:ascii="宋体" w:hAnsi="宋体" w:eastAsia="宋体" w:cs="宋体"/>
          <w:sz w:val="24"/>
          <w:lang w:eastAsia="zh-CN"/>
        </w:rPr>
      </w:pPr>
      <w:r>
        <w:rPr>
          <w:rFonts w:hint="eastAsia" w:ascii="宋体" w:hAnsi="宋体" w:cs="宋体"/>
          <w:sz w:val="24"/>
        </w:rPr>
        <w:t>时间:</w:t>
      </w:r>
      <w:r>
        <w:rPr>
          <w:rFonts w:hint="eastAsia" w:ascii="宋体" w:hAnsi="宋体" w:cs="宋体"/>
          <w:sz w:val="24"/>
          <w:lang w:val="en-US" w:eastAsia="zh-CN"/>
        </w:rPr>
        <w:t xml:space="preserve"> </w:t>
      </w:r>
      <w:r>
        <w:rPr>
          <w:rFonts w:hint="eastAsia" w:ascii="宋体" w:hAnsi="宋体" w:cs="宋体"/>
          <w:sz w:val="24"/>
          <w:u w:val="single"/>
          <w:lang w:val="en-US" w:eastAsia="zh-CN"/>
        </w:rPr>
        <w:t>2024</w:t>
      </w:r>
      <w:r>
        <w:rPr>
          <w:rFonts w:hint="eastAsia" w:ascii="宋体" w:hAnsi="宋体" w:cs="宋体"/>
          <w:sz w:val="24"/>
          <w:lang w:val="en-US" w:eastAsia="zh-CN"/>
        </w:rPr>
        <w:t>年</w:t>
      </w:r>
      <w:r>
        <w:rPr>
          <w:rFonts w:hint="eastAsia" w:ascii="宋体" w:hAnsi="宋体" w:cs="宋体"/>
          <w:sz w:val="24"/>
          <w:u w:val="single"/>
          <w:lang w:val="en-US" w:eastAsia="zh-CN"/>
        </w:rPr>
        <w:t>3</w:t>
      </w:r>
      <w:r>
        <w:rPr>
          <w:rFonts w:hint="eastAsia" w:ascii="宋体" w:hAnsi="宋体" w:cs="宋体"/>
          <w:sz w:val="24"/>
          <w:lang w:val="en-US" w:eastAsia="zh-CN"/>
        </w:rPr>
        <w:t>月</w:t>
      </w:r>
      <w:r>
        <w:rPr>
          <w:rFonts w:hint="eastAsia" w:ascii="宋体" w:hAnsi="宋体" w:cs="宋体"/>
          <w:sz w:val="24"/>
          <w:u w:val="single"/>
          <w:lang w:val="en-US" w:eastAsia="zh-CN"/>
        </w:rPr>
        <w:t>26</w:t>
      </w:r>
      <w:r>
        <w:rPr>
          <w:rFonts w:hint="eastAsia" w:ascii="宋体" w:hAnsi="宋体" w:cs="宋体"/>
          <w:sz w:val="24"/>
          <w:lang w:val="en-US" w:eastAsia="zh-CN"/>
        </w:rPr>
        <w:t>日—</w:t>
      </w:r>
      <w:r>
        <w:rPr>
          <w:rFonts w:hint="eastAsia" w:ascii="宋体" w:hAnsi="宋体" w:cs="宋体"/>
          <w:sz w:val="24"/>
          <w:u w:val="single"/>
          <w:lang w:val="en-US" w:eastAsia="zh-CN"/>
        </w:rPr>
        <w:t>2024</w:t>
      </w:r>
      <w:r>
        <w:rPr>
          <w:rFonts w:hint="eastAsia" w:ascii="宋体" w:hAnsi="宋体" w:cs="宋体"/>
          <w:sz w:val="24"/>
          <w:lang w:val="en-US" w:eastAsia="zh-CN"/>
        </w:rPr>
        <w:t>年</w:t>
      </w:r>
      <w:r>
        <w:rPr>
          <w:rFonts w:hint="eastAsia" w:ascii="宋体" w:hAnsi="宋体" w:cs="宋体"/>
          <w:sz w:val="24"/>
          <w:u w:val="single"/>
          <w:lang w:val="en-US" w:eastAsia="zh-CN"/>
        </w:rPr>
        <w:t>4</w:t>
      </w:r>
      <w:r>
        <w:rPr>
          <w:rFonts w:hint="eastAsia" w:ascii="宋体" w:hAnsi="宋体" w:cs="宋体"/>
          <w:sz w:val="24"/>
          <w:lang w:val="en-US" w:eastAsia="zh-CN"/>
        </w:rPr>
        <w:t>月</w:t>
      </w:r>
      <w:r>
        <w:rPr>
          <w:rFonts w:hint="eastAsia" w:ascii="宋体" w:hAnsi="宋体" w:cs="宋体"/>
          <w:sz w:val="24"/>
          <w:u w:val="single"/>
          <w:lang w:val="en-US" w:eastAsia="zh-CN"/>
        </w:rPr>
        <w:t>1</w:t>
      </w:r>
      <w:r>
        <w:rPr>
          <w:rFonts w:hint="eastAsia" w:ascii="宋体" w:hAnsi="宋体" w:cs="宋体"/>
          <w:sz w:val="24"/>
          <w:lang w:val="en-US" w:eastAsia="zh-CN"/>
        </w:rPr>
        <w:t>日</w:t>
      </w:r>
      <w:bookmarkStart w:id="5" w:name="_GoBack"/>
      <w:bookmarkEnd w:id="5"/>
    </w:p>
    <w:p>
      <w:pPr>
        <w:numPr>
          <w:ilvl w:val="0"/>
          <w:numId w:val="4"/>
        </w:numPr>
        <w:adjustRightInd w:val="0"/>
        <w:snapToGrid w:val="0"/>
        <w:spacing w:line="360" w:lineRule="auto"/>
        <w:ind w:left="425" w:leftChars="0" w:hanging="425" w:firstLineChars="0"/>
        <w:rPr>
          <w:rFonts w:hint="eastAsia" w:ascii="宋体" w:hAnsi="宋体" w:eastAsia="宋体" w:cs="宋体"/>
          <w:i w:val="0"/>
          <w:iCs w:val="0"/>
          <w:caps w:val="0"/>
          <w:spacing w:val="0"/>
          <w:sz w:val="24"/>
          <w:szCs w:val="24"/>
          <w:shd w:val="clear" w:color="auto" w:fill="auto"/>
        </w:rPr>
      </w:pPr>
      <w:r>
        <w:rPr>
          <w:rFonts w:hint="eastAsia" w:ascii="宋体" w:hAnsi="宋体" w:eastAsia="宋体" w:cs="宋体"/>
          <w:i w:val="0"/>
          <w:iCs w:val="0"/>
          <w:caps w:val="0"/>
          <w:spacing w:val="0"/>
          <w:sz w:val="24"/>
          <w:szCs w:val="24"/>
          <w:shd w:val="clear" w:color="auto" w:fill="auto"/>
          <w:lang w:val="en-US" w:eastAsia="zh-CN"/>
        </w:rPr>
        <w:t>方式:</w:t>
      </w:r>
      <w:r>
        <w:rPr>
          <w:rFonts w:hint="eastAsia" w:ascii="宋体" w:hAnsi="宋体" w:eastAsia="宋体" w:cs="宋体"/>
          <w:i w:val="0"/>
          <w:iCs w:val="0"/>
          <w:caps w:val="0"/>
          <w:spacing w:val="0"/>
          <w:sz w:val="24"/>
          <w:szCs w:val="24"/>
          <w:shd w:val="clear" w:color="auto" w:fill="auto"/>
        </w:rPr>
        <w:t>单一来源采购公示无异议后，</w:t>
      </w:r>
      <w:r>
        <w:rPr>
          <w:rFonts w:hint="eastAsia" w:ascii="宋体" w:hAnsi="宋体" w:cs="宋体"/>
          <w:sz w:val="24"/>
          <w:highlight w:val="none"/>
          <w:lang w:val="en-US" w:eastAsia="zh-CN"/>
        </w:rPr>
        <w:t>常州新禾招投标有限公司</w:t>
      </w:r>
      <w:r>
        <w:rPr>
          <w:rFonts w:hint="eastAsia" w:ascii="宋体" w:hAnsi="宋体" w:eastAsia="宋体" w:cs="宋体"/>
          <w:i w:val="0"/>
          <w:iCs w:val="0"/>
          <w:caps w:val="0"/>
          <w:spacing w:val="0"/>
          <w:sz w:val="24"/>
          <w:szCs w:val="24"/>
          <w:shd w:val="clear" w:color="auto" w:fill="auto"/>
        </w:rPr>
        <w:t>从</w:t>
      </w:r>
      <w:r>
        <w:rPr>
          <w:rFonts w:hint="eastAsia" w:ascii="宋体" w:hAnsi="宋体" w:cs="宋体"/>
          <w:i w:val="0"/>
          <w:iCs w:val="0"/>
          <w:caps w:val="0"/>
          <w:spacing w:val="0"/>
          <w:sz w:val="24"/>
          <w:szCs w:val="24"/>
          <w:shd w:val="clear" w:color="auto" w:fill="auto"/>
          <w:lang w:val="en-US" w:eastAsia="zh-CN"/>
        </w:rPr>
        <w:t>现场发放</w:t>
      </w:r>
      <w:r>
        <w:rPr>
          <w:rFonts w:hint="eastAsia" w:ascii="宋体" w:hAnsi="宋体" w:eastAsia="宋体" w:cs="宋体"/>
          <w:i w:val="0"/>
          <w:iCs w:val="0"/>
          <w:caps w:val="0"/>
          <w:spacing w:val="0"/>
          <w:sz w:val="24"/>
          <w:szCs w:val="24"/>
          <w:shd w:val="clear" w:color="auto" w:fill="auto"/>
        </w:rPr>
        <w:t>单一来源采购文</w:t>
      </w:r>
      <w:r>
        <w:rPr>
          <w:rFonts w:hint="eastAsia" w:ascii="宋体" w:hAnsi="宋体" w:eastAsia="宋体" w:cs="宋体"/>
          <w:i w:val="0"/>
          <w:iCs w:val="0"/>
          <w:caps w:val="0"/>
          <w:spacing w:val="0"/>
          <w:sz w:val="24"/>
          <w:szCs w:val="24"/>
          <w:shd w:val="clear" w:color="auto" w:fill="auto"/>
          <w:lang w:val="en-US" w:eastAsia="zh-CN"/>
        </w:rPr>
        <w:t xml:space="preserve">       </w:t>
      </w:r>
      <w:r>
        <w:rPr>
          <w:rFonts w:hint="eastAsia" w:ascii="宋体" w:hAnsi="宋体" w:eastAsia="宋体" w:cs="宋体"/>
          <w:i w:val="0"/>
          <w:iCs w:val="0"/>
          <w:caps w:val="0"/>
          <w:spacing w:val="0"/>
          <w:sz w:val="24"/>
          <w:szCs w:val="24"/>
          <w:shd w:val="clear" w:color="auto" w:fill="auto"/>
        </w:rPr>
        <w:t>件，谈判现场交纳采购文件费用。</w:t>
      </w:r>
    </w:p>
    <w:p>
      <w:pPr>
        <w:numPr>
          <w:ilvl w:val="0"/>
          <w:numId w:val="4"/>
        </w:numPr>
        <w:adjustRightInd w:val="0"/>
        <w:snapToGrid w:val="0"/>
        <w:spacing w:line="360" w:lineRule="auto"/>
        <w:ind w:left="425" w:leftChars="0" w:hanging="425" w:firstLineChars="0"/>
        <w:rPr>
          <w:rFonts w:hint="eastAsia"/>
          <w:lang w:val="en-US" w:eastAsia="zh-CN"/>
        </w:rPr>
      </w:pPr>
      <w:r>
        <w:rPr>
          <w:rFonts w:hint="eastAsia" w:ascii="宋体" w:hAnsi="宋体" w:cs="宋体"/>
          <w:color w:val="auto"/>
          <w:sz w:val="24"/>
          <w:highlight w:val="none"/>
          <w:lang w:val="en-US" w:eastAsia="zh-CN"/>
        </w:rPr>
        <w:t>地点</w:t>
      </w:r>
      <w:r>
        <w:rPr>
          <w:rFonts w:hint="eastAsia" w:ascii="宋体" w:hAnsi="宋体" w:cs="宋体"/>
          <w:color w:val="auto"/>
          <w:sz w:val="24"/>
          <w:highlight w:val="none"/>
        </w:rPr>
        <w:t>:</w:t>
      </w:r>
      <w:r>
        <w:rPr>
          <w:rFonts w:hint="eastAsia" w:ascii="宋体" w:hAnsi="宋体" w:cs="宋体"/>
          <w:sz w:val="24"/>
          <w:highlight w:val="none"/>
        </w:rPr>
        <w:t>常州市</w:t>
      </w:r>
      <w:r>
        <w:rPr>
          <w:rFonts w:hint="eastAsia" w:ascii="宋体" w:hAnsi="宋体" w:cs="宋体"/>
          <w:sz w:val="24"/>
          <w:highlight w:val="none"/>
          <w:lang w:val="en-US" w:eastAsia="zh-CN"/>
        </w:rPr>
        <w:t>武进区淹城丰乐坊11号—常州新禾招投标有限公司</w:t>
      </w:r>
    </w:p>
    <w:p>
      <w:pPr>
        <w:numPr>
          <w:ilvl w:val="0"/>
          <w:numId w:val="4"/>
        </w:numPr>
        <w:adjustRightInd w:val="0"/>
        <w:snapToGrid w:val="0"/>
        <w:spacing w:line="360" w:lineRule="auto"/>
        <w:ind w:left="425" w:leftChars="0" w:hanging="425" w:firstLineChars="0"/>
        <w:rPr>
          <w:rFonts w:hint="eastAsia"/>
          <w:lang w:val="en-US" w:eastAsia="zh-CN"/>
        </w:rPr>
      </w:pPr>
      <w:r>
        <w:rPr>
          <w:rFonts w:hint="eastAsia" w:ascii="宋体" w:hAnsi="宋体" w:cs="宋体"/>
          <w:sz w:val="24"/>
        </w:rPr>
        <w:t>售价:人民币</w:t>
      </w:r>
      <w:r>
        <w:rPr>
          <w:rFonts w:hint="eastAsia" w:ascii="宋体" w:hAnsi="宋体" w:cs="宋体"/>
          <w:sz w:val="24"/>
          <w:u w:val="single"/>
          <w:lang w:val="en-US" w:eastAsia="zh-CN"/>
        </w:rPr>
        <w:t>500</w:t>
      </w:r>
      <w:r>
        <w:rPr>
          <w:rFonts w:hint="eastAsia" w:ascii="宋体" w:hAnsi="宋体" w:cs="宋体"/>
          <w:sz w:val="24"/>
        </w:rPr>
        <w:t>元/份（现金、微信或支付宝</w:t>
      </w:r>
      <w:r>
        <w:rPr>
          <w:rFonts w:hint="eastAsia" w:ascii="宋体" w:hAnsi="宋体" w:cs="宋体"/>
          <w:sz w:val="24"/>
          <w:highlight w:val="none"/>
        </w:rPr>
        <w:t>）</w:t>
      </w:r>
      <w:r>
        <w:rPr>
          <w:rFonts w:hint="eastAsia" w:ascii="宋体" w:hAnsi="宋体" w:cs="宋体"/>
          <w:sz w:val="24"/>
          <w:highlight w:val="none"/>
          <w:lang w:val="en-US" w:eastAsia="zh-CN"/>
        </w:rPr>
        <w:t>,</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售后一概不退。</w:t>
      </w:r>
    </w:p>
    <w:p>
      <w:pPr>
        <w:adjustRightInd w:val="0"/>
        <w:snapToGrid w:val="0"/>
        <w:spacing w:line="360" w:lineRule="auto"/>
        <w:rPr>
          <w:rFonts w:ascii="宋体" w:hAnsi="宋体" w:cs="宋体"/>
          <w:b/>
          <w:bCs/>
          <w:sz w:val="24"/>
        </w:rPr>
      </w:pPr>
      <w:r>
        <w:rPr>
          <w:rFonts w:hint="eastAsia" w:ascii="宋体" w:hAnsi="宋体" w:cs="宋体"/>
          <w:b/>
          <w:bCs/>
          <w:sz w:val="24"/>
          <w:lang w:val="en-US" w:eastAsia="zh-CN"/>
        </w:rPr>
        <w:t>四</w:t>
      </w:r>
      <w:r>
        <w:rPr>
          <w:rFonts w:hint="eastAsia" w:ascii="宋体" w:hAnsi="宋体" w:cs="宋体"/>
          <w:b/>
          <w:bCs/>
          <w:sz w:val="24"/>
        </w:rPr>
        <w:t>、提交</w:t>
      </w:r>
      <w:r>
        <w:rPr>
          <w:rFonts w:hint="eastAsia" w:ascii="宋体" w:hAnsi="宋体" w:cs="宋体"/>
          <w:b/>
          <w:bCs/>
          <w:sz w:val="24"/>
          <w:lang w:eastAsia="zh-CN"/>
        </w:rPr>
        <w:t>响应文件</w:t>
      </w:r>
      <w:r>
        <w:rPr>
          <w:rFonts w:hint="eastAsia" w:ascii="宋体" w:hAnsi="宋体" w:cs="宋体"/>
          <w:b/>
          <w:bCs/>
          <w:sz w:val="24"/>
        </w:rPr>
        <w:t>截止时间、开标时间和地点</w:t>
      </w:r>
    </w:p>
    <w:p>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sz w:val="24"/>
          <w:lang w:val="en-US" w:eastAsia="zh-CN"/>
        </w:rPr>
        <w:t xml:space="preserve"> </w:t>
      </w:r>
      <w:r>
        <w:rPr>
          <w:rFonts w:hint="eastAsia" w:ascii="宋体" w:hAnsi="宋体" w:cs="宋体"/>
          <w:sz w:val="24"/>
          <w:u w:val="single"/>
          <w:lang w:val="en-US" w:eastAsia="zh-CN"/>
        </w:rPr>
        <w:t>2024</w:t>
      </w:r>
      <w:r>
        <w:rPr>
          <w:rFonts w:hint="eastAsia" w:ascii="宋体" w:hAnsi="宋体" w:cs="宋体"/>
          <w:sz w:val="24"/>
        </w:rPr>
        <w:t>年</w:t>
      </w:r>
      <w:r>
        <w:rPr>
          <w:rFonts w:hint="eastAsia" w:ascii="宋体" w:hAnsi="宋体" w:cs="宋体"/>
          <w:sz w:val="24"/>
          <w:u w:val="single"/>
          <w:lang w:val="en-US" w:eastAsia="zh-CN"/>
        </w:rPr>
        <w:t>4</w:t>
      </w:r>
      <w:r>
        <w:rPr>
          <w:rFonts w:hint="eastAsia" w:ascii="宋体" w:hAnsi="宋体" w:cs="宋体"/>
          <w:sz w:val="24"/>
        </w:rPr>
        <w:t>月</w:t>
      </w:r>
      <w:r>
        <w:rPr>
          <w:rFonts w:hint="eastAsia" w:ascii="宋体" w:hAnsi="宋体" w:cs="宋体"/>
          <w:sz w:val="24"/>
          <w:u w:val="single"/>
          <w:lang w:val="en-US" w:eastAsia="zh-CN"/>
        </w:rPr>
        <w:t>3</w:t>
      </w:r>
      <w:r>
        <w:rPr>
          <w:rFonts w:hint="eastAsia" w:ascii="宋体" w:hAnsi="宋体" w:cs="宋体"/>
          <w:sz w:val="24"/>
        </w:rPr>
        <w:t>日下午</w:t>
      </w:r>
      <w:r>
        <w:rPr>
          <w:rFonts w:hint="eastAsia" w:ascii="宋体" w:hAnsi="宋体" w:cs="宋体"/>
          <w:sz w:val="24"/>
          <w:u w:val="single"/>
          <w:lang w:val="en-US" w:eastAsia="zh-CN"/>
        </w:rPr>
        <w:t>14:30</w:t>
      </w:r>
      <w:r>
        <w:rPr>
          <w:rFonts w:hint="eastAsia" w:ascii="宋体" w:hAnsi="宋体" w:cs="宋体"/>
          <w:sz w:val="24"/>
        </w:rPr>
        <w:t>(北京时间)</w:t>
      </w:r>
    </w:p>
    <w:p>
      <w:pPr>
        <w:adjustRightInd w:val="0"/>
        <w:snapToGrid w:val="0"/>
        <w:spacing w:line="360" w:lineRule="auto"/>
        <w:rPr>
          <w:rFonts w:ascii="宋体" w:hAnsi="宋体" w:cs="宋体"/>
          <w:sz w:val="24"/>
        </w:rPr>
      </w:pPr>
      <w:r>
        <w:rPr>
          <w:rFonts w:hint="eastAsia" w:ascii="宋体" w:hAnsi="宋体" w:cs="宋体"/>
          <w:sz w:val="24"/>
        </w:rPr>
        <w:t>地点:常州市</w:t>
      </w:r>
      <w:r>
        <w:rPr>
          <w:rFonts w:hint="eastAsia" w:ascii="宋体" w:hAnsi="宋体" w:cs="宋体"/>
          <w:sz w:val="24"/>
          <w:lang w:val="en-US" w:eastAsia="zh-CN"/>
        </w:rPr>
        <w:t>武进区淹城丰乐坊11号—常州新禾招投标有限公司</w:t>
      </w:r>
    </w:p>
    <w:p>
      <w:pPr>
        <w:numPr>
          <w:ilvl w:val="0"/>
          <w:numId w:val="0"/>
        </w:numPr>
        <w:adjustRightInd w:val="0"/>
        <w:snapToGrid w:val="0"/>
        <w:spacing w:line="360" w:lineRule="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lang w:eastAsia="zh-CN"/>
        </w:rPr>
        <w:t>、</w:t>
      </w:r>
      <w:r>
        <w:rPr>
          <w:rFonts w:hint="eastAsia" w:ascii="宋体" w:hAnsi="宋体" w:cs="宋体"/>
          <w:b/>
          <w:bCs/>
          <w:sz w:val="24"/>
        </w:rPr>
        <w:t>其他补充事宜</w:t>
      </w:r>
    </w:p>
    <w:p>
      <w:pPr>
        <w:adjustRightInd w:val="0"/>
        <w:snapToGrid w:val="0"/>
        <w:spacing w:line="360" w:lineRule="auto"/>
        <w:rPr>
          <w:rFonts w:ascii="宋体" w:hAnsi="宋体" w:cs="宋体"/>
          <w:sz w:val="24"/>
        </w:rPr>
      </w:pPr>
      <w:r>
        <w:rPr>
          <w:rFonts w:hint="eastAsia" w:ascii="宋体" w:hAnsi="宋体" w:cs="宋体"/>
          <w:sz w:val="24"/>
        </w:rPr>
        <w:t>1.报名时需提供资料：</w:t>
      </w:r>
    </w:p>
    <w:p>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pPr>
        <w:adjustRightInd w:val="0"/>
        <w:snapToGrid w:val="0"/>
        <w:spacing w:line="360" w:lineRule="auto"/>
        <w:rPr>
          <w:rFonts w:ascii="宋体" w:hAnsi="宋体" w:cs="宋体"/>
          <w:sz w:val="24"/>
        </w:rPr>
      </w:pPr>
      <w:r>
        <w:rPr>
          <w:rFonts w:hint="eastAsia" w:ascii="宋体" w:hAnsi="宋体" w:cs="宋体"/>
          <w:sz w:val="24"/>
        </w:rPr>
        <w:t>（2）企业营业执照（复印件加盖公章）</w:t>
      </w:r>
    </w:p>
    <w:p>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w:t>
      </w:r>
      <w:r>
        <w:rPr>
          <w:rFonts w:hint="eastAsia" w:ascii="宋体" w:hAnsi="宋体" w:cs="宋体"/>
          <w:sz w:val="24"/>
          <w:lang w:eastAsia="zh-CN"/>
        </w:rPr>
        <w:t>谈判文件</w:t>
      </w:r>
      <w:r>
        <w:rPr>
          <w:rFonts w:hint="eastAsia" w:ascii="宋体" w:hAnsi="宋体" w:cs="宋体"/>
          <w:sz w:val="24"/>
        </w:rPr>
        <w:t>。</w:t>
      </w:r>
    </w:p>
    <w:p>
      <w:pPr>
        <w:adjustRightInd w:val="0"/>
        <w:snapToGrid w:val="0"/>
        <w:spacing w:line="360" w:lineRule="auto"/>
        <w:rPr>
          <w:rFonts w:ascii="宋体" w:hAnsi="宋体" w:cs="宋体"/>
          <w:sz w:val="24"/>
          <w:highlight w:val="none"/>
        </w:rPr>
      </w:pPr>
      <w:r>
        <w:rPr>
          <w:rFonts w:hint="eastAsia" w:ascii="宋体" w:hAnsi="宋体" w:cs="宋体"/>
          <w:sz w:val="24"/>
        </w:rPr>
        <w:t>2.本项目不召开标前答疑会。</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谈判文件</w:t>
      </w:r>
      <w:r>
        <w:rPr>
          <w:rFonts w:hint="eastAsia" w:ascii="宋体" w:hAnsi="宋体" w:cs="宋体"/>
          <w:sz w:val="24"/>
        </w:rPr>
        <w:t>如有疑问，</w:t>
      </w:r>
      <w:r>
        <w:rPr>
          <w:rFonts w:hint="eastAsia" w:ascii="宋体" w:hAnsi="宋体" w:eastAsia="宋体" w:cs="宋体"/>
          <w:i w:val="0"/>
          <w:iCs w:val="0"/>
          <w:caps w:val="0"/>
          <w:spacing w:val="0"/>
          <w:sz w:val="24"/>
          <w:szCs w:val="24"/>
          <w:shd w:val="clear" w:color="auto" w:fill="auto"/>
        </w:rPr>
        <w:t>请将疑问于响应文件提交截止期2日前以书面形式</w:t>
      </w:r>
      <w:r>
        <w:rPr>
          <w:rFonts w:hint="eastAsia" w:ascii="宋体" w:hAnsi="宋体" w:cs="宋体"/>
          <w:sz w:val="24"/>
          <w:highlight w:val="none"/>
        </w:rPr>
        <w:t>向常州</w:t>
      </w:r>
      <w:r>
        <w:rPr>
          <w:rFonts w:hint="eastAsia" w:ascii="宋体" w:hAnsi="宋体" w:cs="宋体"/>
          <w:sz w:val="24"/>
          <w:highlight w:val="none"/>
          <w:lang w:eastAsia="zh-CN"/>
        </w:rPr>
        <w:t>新禾</w:t>
      </w:r>
      <w:r>
        <w:rPr>
          <w:rFonts w:hint="eastAsia" w:ascii="宋体" w:hAnsi="宋体" w:cs="宋体"/>
          <w:sz w:val="24"/>
          <w:highlight w:val="none"/>
        </w:rPr>
        <w:t>招投标有限公司提出。</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3.有关本次</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的事项若存在变动或修改，常州</w:t>
      </w:r>
      <w:r>
        <w:rPr>
          <w:rFonts w:hint="eastAsia" w:ascii="宋体" w:hAnsi="宋体" w:cs="宋体"/>
          <w:color w:val="auto"/>
          <w:sz w:val="24"/>
          <w:highlight w:val="none"/>
          <w:lang w:eastAsia="zh-CN"/>
        </w:rPr>
        <w:t>新禾</w:t>
      </w:r>
      <w:r>
        <w:rPr>
          <w:rFonts w:hint="eastAsia" w:ascii="宋体" w:hAnsi="宋体" w:cs="宋体"/>
          <w:color w:val="auto"/>
          <w:sz w:val="24"/>
          <w:highlight w:val="none"/>
        </w:rPr>
        <w:t>招投标有限公司将通过补充或更正形式在网站上发布，因未能及时了解相关最新信息所引起的失误责任由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自负。</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制作份数及要求</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正本份数:1份，副本份数:</w:t>
      </w:r>
      <w:r>
        <w:rPr>
          <w:rFonts w:hint="eastAsia" w:ascii="宋体" w:hAnsi="宋体" w:cs="宋体"/>
          <w:color w:val="auto"/>
          <w:sz w:val="24"/>
          <w:highlight w:val="none"/>
          <w:lang w:eastAsia="zh-CN"/>
        </w:rPr>
        <w:t>2份</w:t>
      </w:r>
      <w:r>
        <w:rPr>
          <w:rFonts w:hint="eastAsia" w:ascii="宋体" w:hAnsi="宋体" w:cs="宋体"/>
          <w:color w:val="auto"/>
          <w:sz w:val="24"/>
          <w:highlight w:val="none"/>
        </w:rPr>
        <w:t>，</w:t>
      </w:r>
      <w:r>
        <w:rPr>
          <w:rFonts w:hint="eastAsia" w:ascii="宋体" w:hAnsi="宋体" w:cs="宋体"/>
          <w:color w:val="auto"/>
          <w:sz w:val="24"/>
          <w:highlight w:val="none"/>
          <w:lang w:eastAsia="zh-CN"/>
        </w:rPr>
        <w:t>胶装成册</w:t>
      </w:r>
      <w:r>
        <w:rPr>
          <w:rFonts w:hint="eastAsia" w:ascii="宋体" w:hAnsi="宋体" w:cs="宋体"/>
          <w:color w:val="auto"/>
          <w:sz w:val="24"/>
          <w:highlight w:val="none"/>
        </w:rPr>
        <w:t>,未提供完整的视为无效投标。</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正本和副本合并密封或独立密封，由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根据实际情况自行确定。</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不论</w:t>
      </w:r>
      <w:r>
        <w:rPr>
          <w:rFonts w:hint="eastAsia" w:ascii="宋体" w:hAnsi="宋体" w:cs="宋体"/>
          <w:color w:val="auto"/>
          <w:sz w:val="24"/>
          <w:highlight w:val="none"/>
          <w:lang w:eastAsia="zh-CN"/>
        </w:rPr>
        <w:t>供应商成交</w:t>
      </w:r>
      <w:r>
        <w:rPr>
          <w:rFonts w:hint="eastAsia" w:ascii="宋体" w:hAnsi="宋体" w:cs="宋体"/>
          <w:color w:val="auto"/>
          <w:sz w:val="24"/>
          <w:highlight w:val="none"/>
        </w:rPr>
        <w:t>与否，</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均不退回。</w:t>
      </w:r>
    </w:p>
    <w:p>
      <w:pPr>
        <w:adjustRightInd w:val="0"/>
        <w:snapToGrid w:val="0"/>
        <w:spacing w:line="360" w:lineRule="auto"/>
        <w:rPr>
          <w:rFonts w:ascii="宋体" w:hAnsi="宋体" w:cs="宋体"/>
          <w:b/>
          <w:bCs/>
          <w:sz w:val="24"/>
        </w:rPr>
      </w:pPr>
      <w:r>
        <w:rPr>
          <w:rFonts w:hint="eastAsia" w:ascii="宋体" w:hAnsi="宋体" w:cs="宋体"/>
          <w:b/>
          <w:bCs/>
          <w:sz w:val="24"/>
          <w:lang w:val="en-US" w:eastAsia="zh-CN"/>
        </w:rPr>
        <w:t>六</w:t>
      </w:r>
      <w:r>
        <w:rPr>
          <w:rFonts w:hint="eastAsia" w:ascii="宋体" w:hAnsi="宋体" w:cs="宋体"/>
          <w:b/>
          <w:bCs/>
          <w:sz w:val="24"/>
        </w:rPr>
        <w:t>、对本次</w:t>
      </w:r>
      <w:r>
        <w:rPr>
          <w:rFonts w:hint="eastAsia" w:ascii="宋体" w:hAnsi="宋体" w:cs="宋体"/>
          <w:b/>
          <w:bCs/>
          <w:sz w:val="24"/>
          <w:lang w:eastAsia="zh-CN"/>
        </w:rPr>
        <w:t>采购</w:t>
      </w:r>
      <w:r>
        <w:rPr>
          <w:rFonts w:hint="eastAsia" w:ascii="宋体" w:hAnsi="宋体" w:cs="宋体"/>
          <w:b/>
          <w:bCs/>
          <w:sz w:val="24"/>
        </w:rPr>
        <w:t>提出询问，请按以下方式联系。</w:t>
      </w:r>
    </w:p>
    <w:p>
      <w:pPr>
        <w:adjustRightInd w:val="0"/>
        <w:snapToGrid w:val="0"/>
        <w:spacing w:line="360" w:lineRule="auto"/>
        <w:rPr>
          <w:rFonts w:hint="default" w:ascii="宋体" w:hAnsi="宋体" w:eastAsia="宋体" w:cs="宋体"/>
          <w:sz w:val="24"/>
          <w:lang w:val="en-US" w:eastAsia="zh-CN"/>
        </w:rPr>
      </w:pPr>
      <w:r>
        <w:rPr>
          <w:rFonts w:hint="eastAsia" w:ascii="宋体" w:hAnsi="宋体" w:cs="宋体"/>
          <w:sz w:val="24"/>
        </w:rPr>
        <w:t>1.</w:t>
      </w:r>
      <w:r>
        <w:rPr>
          <w:rFonts w:hint="eastAsia" w:ascii="宋体" w:hAnsi="宋体" w:cs="宋体"/>
          <w:sz w:val="24"/>
          <w:lang w:eastAsia="zh-CN"/>
        </w:rPr>
        <w:t>采购</w:t>
      </w:r>
      <w:r>
        <w:rPr>
          <w:rFonts w:hint="eastAsia" w:ascii="宋体" w:hAnsi="宋体" w:cs="宋体"/>
          <w:sz w:val="24"/>
        </w:rPr>
        <w:t>人信息</w:t>
      </w:r>
      <w:r>
        <w:rPr>
          <w:rFonts w:hint="eastAsia" w:ascii="宋体" w:hAnsi="宋体" w:cs="宋体"/>
          <w:sz w:val="24"/>
        </w:rPr>
        <w:br w:type="textWrapping"/>
      </w:r>
      <w:r>
        <w:rPr>
          <w:rFonts w:hint="eastAsia" w:ascii="宋体" w:hAnsi="宋体" w:cs="宋体"/>
          <w:sz w:val="24"/>
        </w:rPr>
        <w:t>名称:</w:t>
      </w:r>
      <w:r>
        <w:rPr>
          <w:rFonts w:hint="eastAsia" w:ascii="宋体" w:hAnsi="宋体" w:cs="宋体"/>
          <w:sz w:val="24"/>
          <w:lang w:val="en-US" w:eastAsia="zh-CN"/>
        </w:rPr>
        <w:t>常州新北区奔牛人民医院</w:t>
      </w:r>
    </w:p>
    <w:p>
      <w:pPr>
        <w:adjustRightInd w:val="0"/>
        <w:snapToGrid w:val="0"/>
        <w:spacing w:line="360" w:lineRule="auto"/>
        <w:rPr>
          <w:rFonts w:hint="default" w:eastAsia="宋体"/>
          <w:lang w:val="en-US" w:eastAsia="zh-CN"/>
        </w:rPr>
      </w:pPr>
      <w:r>
        <w:rPr>
          <w:rFonts w:hint="eastAsia" w:ascii="宋体" w:hAnsi="宋体" w:cs="宋体"/>
          <w:sz w:val="24"/>
        </w:rPr>
        <w:t>地址:</w:t>
      </w:r>
      <w:r>
        <w:rPr>
          <w:rFonts w:hint="eastAsia" w:ascii="宋体" w:hAnsi="宋体" w:cs="宋体"/>
          <w:sz w:val="24"/>
          <w:lang w:val="en-US" w:eastAsia="zh-CN"/>
        </w:rPr>
        <w:t>新北区奔牛镇天禧南路92号</w:t>
      </w:r>
    </w:p>
    <w:p>
      <w:pPr>
        <w:adjustRightInd w:val="0"/>
        <w:snapToGrid w:val="0"/>
        <w:spacing w:line="360" w:lineRule="auto"/>
        <w:rPr>
          <w:rFonts w:hint="default" w:ascii="宋体" w:hAnsi="宋体" w:eastAsia="宋体" w:cs="宋体"/>
          <w:sz w:val="24"/>
          <w:lang w:val="en-US" w:eastAsia="zh-CN"/>
        </w:rPr>
      </w:pPr>
      <w:r>
        <w:rPr>
          <w:rFonts w:hint="eastAsia" w:ascii="宋体" w:hAnsi="宋体" w:cs="宋体"/>
          <w:sz w:val="24"/>
        </w:rPr>
        <w:t>2.采购代理机构信息</w:t>
      </w:r>
      <w:r>
        <w:rPr>
          <w:rFonts w:hint="eastAsia" w:ascii="宋体" w:hAnsi="宋体" w:cs="宋体"/>
          <w:sz w:val="24"/>
        </w:rPr>
        <w:br w:type="textWrapping"/>
      </w:r>
      <w:r>
        <w:rPr>
          <w:rFonts w:hint="eastAsia" w:ascii="宋体" w:hAnsi="宋体" w:cs="宋体"/>
          <w:sz w:val="24"/>
        </w:rPr>
        <w:t>名称:常州</w:t>
      </w:r>
      <w:r>
        <w:rPr>
          <w:rFonts w:hint="eastAsia" w:ascii="宋体" w:hAnsi="宋体" w:cs="宋体"/>
          <w:sz w:val="24"/>
          <w:lang w:eastAsia="zh-CN"/>
        </w:rPr>
        <w:t>新禾</w:t>
      </w:r>
      <w:r>
        <w:rPr>
          <w:rFonts w:hint="eastAsia" w:ascii="宋体" w:hAnsi="宋体" w:cs="宋体"/>
          <w:sz w:val="24"/>
        </w:rPr>
        <w:t xml:space="preserve">招投标有限公司      </w:t>
      </w:r>
      <w:r>
        <w:rPr>
          <w:rFonts w:hint="eastAsia" w:ascii="宋体" w:hAnsi="宋体" w:cs="宋体"/>
          <w:sz w:val="24"/>
        </w:rPr>
        <w:br w:type="textWrapping"/>
      </w:r>
      <w:r>
        <w:rPr>
          <w:rFonts w:hint="eastAsia" w:ascii="宋体" w:hAnsi="宋体" w:eastAsia="宋体" w:cs="宋体"/>
          <w:sz w:val="24"/>
        </w:rPr>
        <w:t>地址:常州市</w:t>
      </w:r>
      <w:r>
        <w:rPr>
          <w:rFonts w:hint="eastAsia" w:ascii="宋体" w:hAnsi="宋体" w:cs="宋体"/>
          <w:sz w:val="24"/>
          <w:lang w:val="en-US" w:eastAsia="zh-CN"/>
        </w:rPr>
        <w:t>武进区淹城丰乐坊11号</w:t>
      </w:r>
      <w:r>
        <w:rPr>
          <w:rFonts w:hint="eastAsia" w:ascii="宋体" w:hAnsi="宋体" w:eastAsia="宋体" w:cs="宋体"/>
          <w:sz w:val="24"/>
        </w:rPr>
        <w:br w:type="textWrapping"/>
      </w:r>
      <w:r>
        <w:rPr>
          <w:rFonts w:hint="eastAsia" w:ascii="宋体" w:hAnsi="宋体" w:eastAsia="宋体" w:cs="宋体"/>
          <w:sz w:val="24"/>
        </w:rPr>
        <w:t>联系人</w:t>
      </w:r>
      <w:r>
        <w:rPr>
          <w:rFonts w:hint="eastAsia" w:ascii="宋体" w:hAnsi="宋体" w:eastAsia="宋体" w:cs="宋体"/>
          <w:sz w:val="24"/>
          <w:lang w:val="en-US" w:eastAsia="zh-CN"/>
        </w:rPr>
        <w:t>:</w:t>
      </w:r>
      <w:r>
        <w:rPr>
          <w:rFonts w:hint="eastAsia" w:ascii="宋体" w:hAnsi="宋体" w:cs="宋体"/>
          <w:sz w:val="24"/>
          <w:lang w:val="en-US" w:eastAsia="zh-CN"/>
        </w:rPr>
        <w:t>王先生</w:t>
      </w:r>
    </w:p>
    <w:p>
      <w:pPr>
        <w:pStyle w:val="16"/>
        <w:widowControl/>
        <w:adjustRightInd w:val="0"/>
        <w:snapToGrid w:val="0"/>
        <w:spacing w:line="360" w:lineRule="auto"/>
        <w:rPr>
          <w:rFonts w:hint="default" w:ascii="宋体" w:hAnsi="宋体" w:eastAsia="宋体" w:cs="宋体"/>
          <w:lang w:val="en-US" w:eastAsia="zh-CN"/>
        </w:rPr>
      </w:pPr>
      <w:r>
        <w:rPr>
          <w:rFonts w:hint="eastAsia" w:ascii="宋体" w:hAnsi="宋体" w:eastAsia="宋体" w:cs="宋体"/>
        </w:rPr>
        <w:t>联系方式:0519-</w:t>
      </w:r>
      <w:r>
        <w:rPr>
          <w:rFonts w:hint="eastAsia" w:ascii="宋体" w:hAnsi="宋体" w:cs="宋体"/>
        </w:rPr>
        <w:t>8</w:t>
      </w:r>
      <w:r>
        <w:rPr>
          <w:rFonts w:hint="eastAsia" w:ascii="宋体" w:hAnsi="宋体" w:cs="宋体"/>
          <w:lang w:val="en-US" w:eastAsia="zh-CN"/>
        </w:rPr>
        <w:t>0588588</w:t>
      </w:r>
    </w:p>
    <w:p>
      <w:pPr>
        <w:adjustRightInd w:val="0"/>
        <w:snapToGrid w:val="0"/>
        <w:spacing w:line="360" w:lineRule="auto"/>
        <w:rPr>
          <w:rFonts w:ascii="宋体" w:hAnsi="宋体" w:cs="宋体"/>
          <w:sz w:val="24"/>
        </w:rPr>
      </w:pPr>
      <w:r>
        <w:rPr>
          <w:rFonts w:hint="eastAsia" w:ascii="宋体" w:hAnsi="宋体" w:cs="宋体"/>
          <w:sz w:val="24"/>
        </w:rPr>
        <w:t>3.项目联系方式</w:t>
      </w:r>
    </w:p>
    <w:p>
      <w:pPr>
        <w:adjustRightInd w:val="0"/>
        <w:snapToGrid w:val="0"/>
        <w:spacing w:line="360" w:lineRule="auto"/>
        <w:rPr>
          <w:rFonts w:ascii="宋体" w:hAnsi="宋体" w:cs="宋体"/>
          <w:sz w:val="24"/>
          <w:u w:val="single"/>
        </w:rPr>
      </w:pPr>
      <w:r>
        <w:rPr>
          <w:rFonts w:hint="eastAsia" w:ascii="宋体" w:hAnsi="宋体" w:cs="宋体"/>
          <w:sz w:val="24"/>
        </w:rPr>
        <w:t>项目联系人:</w:t>
      </w:r>
      <w:r>
        <w:rPr>
          <w:rFonts w:hint="eastAsia" w:ascii="宋体" w:hAnsi="宋体" w:cs="宋体"/>
          <w:sz w:val="24"/>
          <w:lang w:val="en-US" w:eastAsia="zh-CN"/>
        </w:rPr>
        <w:t>李</w:t>
      </w:r>
      <w:r>
        <w:rPr>
          <w:rFonts w:hint="eastAsia" w:ascii="宋体" w:hAnsi="宋体" w:cs="宋体"/>
          <w:sz w:val="24"/>
        </w:rPr>
        <w:t>女士</w:t>
      </w:r>
    </w:p>
    <w:p>
      <w:pPr>
        <w:adjustRightInd w:val="0"/>
        <w:snapToGrid w:val="0"/>
        <w:spacing w:line="360" w:lineRule="auto"/>
        <w:jc w:val="left"/>
        <w:rPr>
          <w:rFonts w:hint="default" w:ascii="宋体" w:hAnsi="宋体" w:eastAsia="宋体" w:cs="宋体"/>
          <w:sz w:val="24"/>
          <w:lang w:val="en-US" w:eastAsia="zh-CN"/>
        </w:rPr>
      </w:pPr>
      <w:r>
        <w:rPr>
          <w:rFonts w:hint="eastAsia" w:ascii="宋体" w:hAnsi="宋体" w:cs="宋体"/>
          <w:sz w:val="24"/>
        </w:rPr>
        <w:t>电话:0519-8</w:t>
      </w:r>
      <w:r>
        <w:rPr>
          <w:rFonts w:hint="eastAsia" w:ascii="宋体" w:hAnsi="宋体" w:cs="宋体"/>
          <w:sz w:val="24"/>
          <w:lang w:val="en-US" w:eastAsia="zh-CN"/>
        </w:rPr>
        <w:t>0588588</w:t>
      </w:r>
    </w:p>
    <w:p>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w:t>
      </w:r>
    </w:p>
    <w:tbl>
      <w:tblPr>
        <w:tblStyle w:val="21"/>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lang w:eastAsia="zh-CN"/>
              </w:rPr>
              <w:t>供应商（盖章）</w:t>
            </w:r>
            <w:r>
              <w:rPr>
                <w:rFonts w:hint="eastAsia" w:ascii="宋体" w:hAnsi="宋体" w:cs="宋体"/>
                <w:color w:val="auto"/>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现委托</w:t>
            </w:r>
            <w:r>
              <w:rPr>
                <w:rFonts w:hint="eastAsia" w:ascii="宋体" w:hAnsi="宋体" w:eastAsia="宋体" w:cs="宋体"/>
                <w:color w:val="auto"/>
                <w:highlight w:val="none"/>
              </w:rPr>
              <w:t>______</w:t>
            </w:r>
            <w:r>
              <w:rPr>
                <w:rFonts w:hint="eastAsia" w:ascii="宋体" w:hAnsi="宋体" w:cs="宋体"/>
                <w:color w:val="auto"/>
                <w:highlight w:val="none"/>
              </w:rPr>
              <w:t>参与常州</w:t>
            </w:r>
            <w:r>
              <w:rPr>
                <w:rFonts w:hint="eastAsia" w:ascii="宋体" w:hAnsi="宋体" w:cs="宋体"/>
                <w:color w:val="auto"/>
                <w:highlight w:val="none"/>
                <w:lang w:eastAsia="zh-CN"/>
              </w:rPr>
              <w:t>新禾</w:t>
            </w:r>
            <w:r>
              <w:rPr>
                <w:rFonts w:hint="eastAsia" w:ascii="宋体" w:hAnsi="宋体" w:cs="宋体"/>
                <w:color w:val="auto"/>
                <w:highlight w:val="none"/>
              </w:rPr>
              <w:t>招投标有限公司此项目的报名工作。项目招投标过程中答疑补充等相关文件都须</w:t>
            </w:r>
            <w:r>
              <w:rPr>
                <w:rFonts w:hint="eastAsia" w:ascii="宋体" w:hAnsi="宋体" w:cs="宋体"/>
                <w:color w:val="auto"/>
                <w:highlight w:val="none"/>
                <w:lang w:eastAsia="zh-CN"/>
              </w:rPr>
              <w:t>供应商</w:t>
            </w:r>
            <w:r>
              <w:rPr>
                <w:rFonts w:hint="eastAsia" w:ascii="宋体" w:hAnsi="宋体" w:cs="宋体"/>
                <w:color w:val="auto"/>
                <w:highlight w:val="none"/>
              </w:rPr>
              <w:t>在相关网站上下载，本单位会及时关注相关网站，以防遗漏，并承诺不以此为理由提出质疑。</w:t>
            </w: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color w:val="auto"/>
                <w:highlight w:val="none"/>
              </w:rPr>
            </w:pPr>
            <w:r>
              <w:rPr>
                <w:rFonts w:hint="eastAsia" w:ascii="宋体" w:hAnsi="宋体" w:cs="宋体"/>
                <w:color w:val="auto"/>
                <w:highlight w:val="none"/>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被授权人姓名：</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接收</w:t>
            </w:r>
            <w:r>
              <w:rPr>
                <w:rFonts w:hint="eastAsia" w:ascii="宋体" w:hAnsi="宋体" w:cs="宋体"/>
                <w:color w:val="auto"/>
                <w:highlight w:val="none"/>
                <w:lang w:eastAsia="zh-CN"/>
              </w:rPr>
              <w:t>采购文件</w:t>
            </w:r>
            <w:r>
              <w:rPr>
                <w:rFonts w:hint="eastAsia" w:ascii="宋体" w:hAnsi="宋体" w:cs="宋体"/>
                <w:color w:val="auto"/>
                <w:highlight w:val="none"/>
              </w:rPr>
              <w:t>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被授权人签字：</w:t>
            </w:r>
          </w:p>
        </w:tc>
      </w:tr>
    </w:tbl>
    <w:p>
      <w:pPr>
        <w:pStyle w:val="16"/>
        <w:keepNext w:val="0"/>
        <w:keepLines w:val="0"/>
        <w:pageBreakBefore w:val="0"/>
        <w:widowControl/>
        <w:kinsoku/>
        <w:topLinePunct w:val="0"/>
        <w:bidi w:val="0"/>
        <w:adjustRightInd w:val="0"/>
        <w:snapToGrid w:val="0"/>
        <w:spacing w:after="225" w:line="360" w:lineRule="auto"/>
        <w:textAlignment w:val="auto"/>
        <w:outlineLvl w:val="9"/>
        <w:rPr>
          <w:rFonts w:ascii="黑体" w:hAnsi="黑体" w:eastAsia="黑体"/>
          <w:color w:val="auto"/>
          <w:sz w:val="32"/>
          <w:szCs w:val="32"/>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应完整填写表格，并对内容的真实性和有效性负全部责任。</w:t>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both"/>
        <w:textAlignment w:val="auto"/>
        <w:outlineLvl w:val="9"/>
        <w:rPr>
          <w:rFonts w:hint="eastAsia" w:ascii="宋体" w:hAnsi="宋体" w:cs="宋体"/>
          <w:b/>
          <w:bCs/>
          <w:snapToGrid w:val="0"/>
          <w:sz w:val="32"/>
          <w:szCs w:val="32"/>
        </w:rPr>
      </w:pPr>
    </w:p>
    <w:p>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ascii="宋体" w:hAnsi="宋体" w:cs="宋体"/>
          <w:snapToGrid w:val="0"/>
          <w:kern w:val="0"/>
          <w:sz w:val="24"/>
        </w:rPr>
      </w:pPr>
    </w:p>
    <w:p>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pPr>
        <w:adjustRightInd w:val="0"/>
        <w:snapToGrid w:val="0"/>
        <w:spacing w:line="360" w:lineRule="auto"/>
        <w:ind w:firstLine="4560" w:firstLineChars="1900"/>
        <w:rPr>
          <w:rFonts w:ascii="宋体" w:hAnsi="宋体" w:cs="宋体"/>
          <w:snapToGrid w:val="0"/>
          <w:kern w:val="0"/>
          <w:sz w:val="24"/>
        </w:rPr>
      </w:pPr>
      <w:r>
        <w:rPr>
          <w:rFonts w:hint="eastAsia" w:ascii="宋体" w:hAnsi="宋体" w:cs="宋体"/>
          <w:snapToGrid w:val="0"/>
          <w:kern w:val="0"/>
          <w:sz w:val="24"/>
        </w:rPr>
        <w:t>法定代表人（负责人）：</w:t>
      </w:r>
    </w:p>
    <w:p>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二</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lang w:eastAsia="zh-CN"/>
        </w:rPr>
        <w:t>谈判</w:t>
      </w:r>
      <w:r>
        <w:rPr>
          <w:rFonts w:hint="eastAsia" w:ascii="宋体" w:hAnsi="宋体" w:cs="宋体"/>
          <w:b/>
          <w:color w:val="auto"/>
          <w:sz w:val="36"/>
          <w:szCs w:val="36"/>
          <w:highlight w:val="none"/>
        </w:rPr>
        <w:t>须知</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
          <w:sz w:val="24"/>
          <w:szCs w:val="24"/>
          <w:lang w:val="zh-CN" w:eastAsia="zh-CN"/>
        </w:rPr>
      </w:pPr>
      <w:r>
        <w:rPr>
          <w:rFonts w:hint="eastAsia" w:ascii="宋体" w:hAnsi="宋体" w:eastAsia="宋体" w:cs="宋体"/>
          <w:b/>
          <w:sz w:val="24"/>
          <w:szCs w:val="24"/>
          <w:lang w:val="en-US" w:eastAsia="zh-CN"/>
        </w:rPr>
        <w:t>1.</w:t>
      </w:r>
      <w:r>
        <w:rPr>
          <w:rFonts w:hint="eastAsia" w:ascii="宋体" w:hAnsi="宋体" w:eastAsia="宋体" w:cs="宋体"/>
          <w:b/>
          <w:sz w:val="24"/>
          <w:szCs w:val="24"/>
          <w:lang w:val="zh-CN" w:eastAsia="zh-CN"/>
        </w:rPr>
        <w:t>总则</w:t>
      </w:r>
    </w:p>
    <w:p>
      <w:pPr>
        <w:keepNext w:val="0"/>
        <w:keepLines w:val="0"/>
        <w:pageBreakBefore w:val="0"/>
        <w:widowControl w:val="0"/>
        <w:kinsoku/>
        <w:wordWrap/>
        <w:topLinePunct w:val="0"/>
        <w:autoSpaceDE w:val="0"/>
        <w:autoSpaceDN w:val="0"/>
        <w:bidi w:val="0"/>
        <w:adjustRightInd w:val="0"/>
        <w:snapToGrid w:val="0"/>
        <w:spacing w:line="312" w:lineRule="auto"/>
        <w:ind w:firstLine="240" w:firstLineChars="100"/>
        <w:textAlignment w:val="auto"/>
        <w:rPr>
          <w:rFonts w:ascii="宋体" w:hAnsi="宋体"/>
          <w:color w:val="000000"/>
          <w:sz w:val="24"/>
          <w:lang w:val="zh-CN"/>
        </w:rPr>
      </w:pPr>
      <w:r>
        <w:rPr>
          <w:rFonts w:hint="eastAsia" w:ascii="宋体" w:hAnsi="宋体"/>
          <w:color w:val="000000"/>
          <w:sz w:val="24"/>
          <w:lang w:val="zh-CN"/>
        </w:rPr>
        <w:t>1</w:t>
      </w:r>
      <w:r>
        <w:rPr>
          <w:rFonts w:hint="eastAsia" w:ascii="宋体" w:hAnsi="宋体"/>
          <w:color w:val="000000"/>
          <w:sz w:val="24"/>
          <w:lang w:val="en-US" w:eastAsia="zh-CN"/>
        </w:rPr>
        <w:t>.1</w:t>
      </w:r>
      <w:r>
        <w:rPr>
          <w:rFonts w:hint="eastAsia" w:ascii="宋体" w:hAnsi="宋体"/>
          <w:color w:val="000000"/>
          <w:sz w:val="24"/>
          <w:lang w:val="zh-CN"/>
        </w:rPr>
        <w:t>适用范围</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b/>
          <w:sz w:val="24"/>
        </w:rPr>
      </w:pPr>
      <w:r>
        <w:rPr>
          <w:rFonts w:hint="eastAsia" w:ascii="宋体" w:hAnsi="宋体"/>
          <w:color w:val="000000"/>
          <w:sz w:val="24"/>
          <w:lang w:val="zh-CN"/>
        </w:rPr>
        <w:t>本采购文件适用于前文所述的</w:t>
      </w:r>
      <w:r>
        <w:rPr>
          <w:rFonts w:hint="eastAsia" w:ascii="宋体" w:hAnsi="宋体"/>
          <w:color w:val="000000"/>
          <w:sz w:val="24"/>
        </w:rPr>
        <w:t>项目</w:t>
      </w:r>
      <w:r>
        <w:rPr>
          <w:rFonts w:hint="eastAsia" w:ascii="宋体" w:hAnsi="宋体"/>
          <w:color w:val="000000"/>
          <w:sz w:val="24"/>
          <w:lang w:val="zh-CN"/>
        </w:rPr>
        <w:t>。</w:t>
      </w:r>
    </w:p>
    <w:p>
      <w:pPr>
        <w:keepNext w:val="0"/>
        <w:keepLines w:val="0"/>
        <w:pageBreakBefore w:val="0"/>
        <w:widowControl w:val="0"/>
        <w:kinsoku/>
        <w:wordWrap/>
        <w:topLinePunct w:val="0"/>
        <w:autoSpaceDE w:val="0"/>
        <w:autoSpaceDN w:val="0"/>
        <w:bidi w:val="0"/>
        <w:adjustRightInd w:val="0"/>
        <w:snapToGrid w:val="0"/>
        <w:spacing w:line="312" w:lineRule="auto"/>
        <w:ind w:firstLine="240" w:firstLineChars="100"/>
        <w:textAlignment w:val="auto"/>
        <w:rPr>
          <w:rFonts w:ascii="宋体" w:hAnsi="宋体"/>
          <w:color w:val="000000"/>
          <w:sz w:val="24"/>
          <w:lang w:val="zh-CN"/>
        </w:rPr>
      </w:pPr>
      <w:r>
        <w:rPr>
          <w:rFonts w:hint="eastAsia" w:ascii="宋体" w:hAnsi="宋体"/>
          <w:color w:val="000000"/>
          <w:sz w:val="24"/>
          <w:lang w:val="en-US" w:eastAsia="zh-CN"/>
        </w:rPr>
        <w:t>1.2</w:t>
      </w:r>
      <w:r>
        <w:rPr>
          <w:rFonts w:hint="eastAsia" w:ascii="宋体" w:hAnsi="宋体"/>
          <w:color w:val="000000"/>
          <w:sz w:val="24"/>
          <w:lang w:val="zh-CN"/>
        </w:rPr>
        <w:t>当事人</w:t>
      </w:r>
    </w:p>
    <w:p>
      <w:pPr>
        <w:keepNext w:val="0"/>
        <w:keepLines w:val="0"/>
        <w:pageBreakBefore w:val="0"/>
        <w:widowControl w:val="0"/>
        <w:kinsoku/>
        <w:wordWrap/>
        <w:topLinePunct w:val="0"/>
        <w:autoSpaceDE w:val="0"/>
        <w:autoSpaceDN w:val="0"/>
        <w:bidi w:val="0"/>
        <w:adjustRightInd w:val="0"/>
        <w:snapToGrid w:val="0"/>
        <w:spacing w:line="312" w:lineRule="auto"/>
        <w:ind w:firstLine="240" w:firstLineChars="100"/>
        <w:textAlignment w:val="auto"/>
        <w:rPr>
          <w:rFonts w:ascii="宋体" w:hAnsi="宋体"/>
          <w:color w:val="000000"/>
          <w:sz w:val="24"/>
          <w:lang w:val="zh-CN"/>
        </w:rPr>
      </w:pPr>
      <w:r>
        <w:rPr>
          <w:rFonts w:hint="eastAsia" w:ascii="宋体" w:hAnsi="宋体"/>
          <w:color w:val="000000"/>
          <w:sz w:val="24"/>
          <w:lang w:val="en-US" w:eastAsia="zh-CN"/>
        </w:rPr>
        <w:t>1.2.1</w:t>
      </w:r>
      <w:r>
        <w:rPr>
          <w:rFonts w:hint="eastAsia" w:ascii="宋体" w:hAnsi="宋体"/>
          <w:sz w:val="24"/>
          <w:lang w:val="zh-CN"/>
        </w:rPr>
        <w:t>采购人</w:t>
      </w:r>
      <w:r>
        <w:rPr>
          <w:rFonts w:hint="eastAsia" w:ascii="宋体" w:hAnsi="宋体"/>
          <w:sz w:val="24"/>
          <w:lang w:val="en-US" w:eastAsia="zh-CN"/>
        </w:rPr>
        <w:t>:</w:t>
      </w:r>
      <w:r>
        <w:rPr>
          <w:rFonts w:hint="eastAsia" w:ascii="宋体" w:hAnsi="宋体"/>
          <w:sz w:val="24"/>
          <w:lang w:val="zh-CN"/>
        </w:rPr>
        <w:t>详见第一章。</w:t>
      </w:r>
    </w:p>
    <w:p>
      <w:pPr>
        <w:keepNext w:val="0"/>
        <w:keepLines w:val="0"/>
        <w:pageBreakBefore w:val="0"/>
        <w:widowControl w:val="0"/>
        <w:kinsoku/>
        <w:wordWrap/>
        <w:topLinePunct w:val="0"/>
        <w:autoSpaceDE w:val="0"/>
        <w:autoSpaceDN w:val="0"/>
        <w:bidi w:val="0"/>
        <w:adjustRightInd w:val="0"/>
        <w:snapToGrid w:val="0"/>
        <w:spacing w:line="312" w:lineRule="auto"/>
        <w:ind w:firstLine="240" w:firstLineChars="100"/>
        <w:textAlignment w:val="auto"/>
        <w:rPr>
          <w:rFonts w:hint="eastAsia" w:ascii="宋体" w:hAnsi="宋体" w:eastAsia="宋体" w:cs="宋体"/>
          <w:b/>
          <w:sz w:val="24"/>
          <w:szCs w:val="24"/>
          <w:lang w:val="en-US" w:eastAsia="zh-CN"/>
        </w:rPr>
      </w:pPr>
      <w:r>
        <w:rPr>
          <w:rFonts w:hint="eastAsia" w:ascii="宋体" w:hAnsi="宋体"/>
          <w:color w:val="000000"/>
          <w:sz w:val="24"/>
          <w:lang w:val="en-US" w:eastAsia="zh-CN"/>
        </w:rPr>
        <w:t>1.2.2</w:t>
      </w:r>
      <w:r>
        <w:rPr>
          <w:rFonts w:hint="eastAsia" w:ascii="宋体" w:hAnsi="宋体"/>
          <w:color w:val="000000"/>
          <w:sz w:val="24"/>
          <w:lang w:val="zh-CN"/>
        </w:rPr>
        <w:t>供应商</w:t>
      </w:r>
      <w:r>
        <w:rPr>
          <w:rFonts w:hint="eastAsia" w:ascii="宋体" w:hAnsi="宋体"/>
          <w:color w:val="000000"/>
          <w:sz w:val="24"/>
          <w:lang w:val="en-US" w:eastAsia="zh-CN"/>
        </w:rPr>
        <w:t>:</w:t>
      </w:r>
      <w:r>
        <w:rPr>
          <w:rFonts w:hint="eastAsia" w:ascii="宋体" w:hAnsi="宋体"/>
          <w:color w:val="000000"/>
          <w:sz w:val="24"/>
          <w:lang w:val="zh-CN"/>
        </w:rPr>
        <w:t>指按照本文件规定获得采购文件并参加采购谈判的供应商。</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2.合格的供应商</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Times New Roman"/>
          <w:color w:val="000000"/>
          <w:sz w:val="24"/>
          <w:lang w:val="en-US" w:eastAsia="zh-CN"/>
        </w:rPr>
      </w:pPr>
      <w:r>
        <w:rPr>
          <w:rFonts w:hint="eastAsia" w:ascii="宋体" w:hAnsi="宋体" w:cs="Times New Roman"/>
          <w:color w:val="000000"/>
          <w:sz w:val="24"/>
          <w:lang w:val="en-US" w:eastAsia="zh-CN"/>
        </w:rPr>
        <w:t>满足《中华人民共和国政府采购法》第二十二条规定。</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Times New Roman"/>
          <w:b w:val="0"/>
          <w:bCs w:val="0"/>
          <w:color w:val="FF0000"/>
          <w:sz w:val="24"/>
          <w:u w:val="single"/>
          <w:lang w:val="en-US" w:eastAsia="zh-CN"/>
        </w:rPr>
      </w:pPr>
      <w:r>
        <w:rPr>
          <w:rFonts w:hint="eastAsia" w:ascii="宋体" w:hAnsi="宋体" w:cs="Times New Roman"/>
          <w:b w:val="0"/>
          <w:bCs w:val="0"/>
          <w:color w:val="FF0000"/>
          <w:sz w:val="24"/>
          <w:u w:val="single"/>
          <w:lang w:val="en-US" w:eastAsia="zh-CN"/>
        </w:rPr>
        <w:t>（此处需将其他资格要求添加进来）</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
          <w:sz w:val="24"/>
          <w:szCs w:val="24"/>
          <w:lang w:val="en-US" w:eastAsia="zh-CN"/>
        </w:rPr>
      </w:pPr>
      <w:r>
        <w:rPr>
          <w:rFonts w:hint="eastAsia" w:ascii="宋体" w:hAnsi="宋体" w:cs="宋体"/>
          <w:b/>
          <w:sz w:val="24"/>
          <w:szCs w:val="24"/>
          <w:lang w:val="en-US" w:eastAsia="zh-CN"/>
        </w:rPr>
        <w:t>*</w:t>
      </w:r>
      <w:r>
        <w:rPr>
          <w:rFonts w:hint="eastAsia" w:ascii="宋体" w:hAnsi="宋体" w:eastAsia="宋体" w:cs="宋体"/>
          <w:b/>
          <w:sz w:val="24"/>
          <w:szCs w:val="24"/>
          <w:lang w:val="en-US" w:eastAsia="zh-CN"/>
        </w:rPr>
        <w:t>3.</w:t>
      </w:r>
      <w:r>
        <w:rPr>
          <w:rFonts w:hint="eastAsia" w:ascii="宋体" w:hAnsi="宋体" w:eastAsia="宋体" w:cs="宋体"/>
          <w:b/>
          <w:sz w:val="24"/>
          <w:szCs w:val="24"/>
          <w:lang w:val="zh-CN" w:eastAsia="zh-CN"/>
        </w:rPr>
        <w:t>响应文件的组成和顺序</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供应商编写的响应文件应包括报价部分</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商务部分</w:t>
      </w:r>
      <w:r>
        <w:rPr>
          <w:rFonts w:hint="eastAsia" w:ascii="宋体" w:hAnsi="宋体" w:cs="宋体"/>
          <w:b w:val="0"/>
          <w:bCs/>
          <w:sz w:val="24"/>
          <w:szCs w:val="24"/>
          <w:lang w:val="en-US" w:eastAsia="zh-CN"/>
        </w:rPr>
        <w:t>和技术部分</w:t>
      </w:r>
      <w:r>
        <w:rPr>
          <w:rFonts w:hint="eastAsia" w:ascii="宋体" w:hAnsi="宋体" w:eastAsia="宋体" w:cs="宋体"/>
          <w:b w:val="0"/>
          <w:bCs/>
          <w:sz w:val="24"/>
          <w:szCs w:val="24"/>
          <w:lang w:val="en-US" w:eastAsia="zh-CN"/>
        </w:rPr>
        <w:t>内容。</w:t>
      </w: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eastAsia" w:ascii="宋体" w:hAnsi="宋体" w:eastAsia="宋体" w:cs="宋体"/>
          <w:b/>
          <w:bCs w:val="0"/>
          <w:sz w:val="24"/>
          <w:szCs w:val="24"/>
          <w:lang w:val="en-US" w:eastAsia="zh-CN"/>
        </w:rPr>
      </w:pPr>
      <w:r>
        <w:rPr>
          <w:rFonts w:hint="eastAsia" w:ascii="宋体" w:hAnsi="宋体" w:cs="宋体"/>
          <w:b/>
          <w:bCs w:val="0"/>
          <w:sz w:val="24"/>
          <w:szCs w:val="24"/>
          <w:lang w:val="en-US" w:eastAsia="zh-CN"/>
        </w:rPr>
        <w:t>3.1</w:t>
      </w:r>
      <w:r>
        <w:rPr>
          <w:rFonts w:hint="eastAsia" w:ascii="宋体" w:hAnsi="宋体" w:eastAsia="宋体" w:cs="宋体"/>
          <w:b/>
          <w:bCs w:val="0"/>
          <w:sz w:val="24"/>
          <w:szCs w:val="24"/>
          <w:lang w:val="en-US" w:eastAsia="zh-CN"/>
        </w:rPr>
        <w:t>报价部分</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3.1.1</w:t>
      </w:r>
      <w:r>
        <w:rPr>
          <w:rFonts w:hint="eastAsia" w:ascii="宋体" w:hAnsi="宋体" w:eastAsia="宋体" w:cs="宋体"/>
          <w:b w:val="0"/>
          <w:bCs/>
          <w:sz w:val="24"/>
          <w:szCs w:val="24"/>
          <w:lang w:val="en-US" w:eastAsia="zh-CN"/>
        </w:rPr>
        <w:t>供应商声明函</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3.1.2</w:t>
      </w:r>
      <w:r>
        <w:rPr>
          <w:rFonts w:hint="eastAsia" w:ascii="宋体" w:hAnsi="宋体" w:eastAsia="宋体" w:cs="宋体"/>
          <w:b w:val="0"/>
          <w:bCs/>
          <w:sz w:val="24"/>
          <w:szCs w:val="24"/>
          <w:lang w:val="en-US" w:eastAsia="zh-CN"/>
        </w:rPr>
        <w:t>报价表</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1）供应商的报价详见报价一览表</w:t>
      </w:r>
      <w:r>
        <w:rPr>
          <w:rFonts w:hint="eastAsia" w:ascii="宋体" w:hAnsi="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2）供应商在报价时应充分考虑服务内的市场因素和成本变化状况的风险</w:t>
      </w:r>
      <w:r>
        <w:rPr>
          <w:rFonts w:hint="eastAsia" w:ascii="宋体" w:hAnsi="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3）响应文件中的报价为首次报价，在协商过程中仍有多次报价机会，届时请供应商做好报价准备。</w:t>
      </w: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eastAsia" w:ascii="宋体" w:hAnsi="宋体" w:eastAsia="宋体" w:cs="宋体"/>
          <w:b/>
          <w:bCs w:val="0"/>
          <w:sz w:val="24"/>
          <w:szCs w:val="24"/>
          <w:highlight w:val="none"/>
          <w:lang w:val="en-US" w:eastAsia="zh-CN"/>
        </w:rPr>
      </w:pPr>
      <w:r>
        <w:rPr>
          <w:rFonts w:hint="eastAsia" w:ascii="宋体" w:hAnsi="宋体" w:cs="宋体"/>
          <w:b/>
          <w:bCs w:val="0"/>
          <w:sz w:val="24"/>
          <w:szCs w:val="24"/>
          <w:highlight w:val="none"/>
          <w:lang w:val="en-US" w:eastAsia="zh-CN"/>
        </w:rPr>
        <w:t>3.2</w:t>
      </w:r>
      <w:r>
        <w:rPr>
          <w:rFonts w:hint="eastAsia" w:ascii="宋体" w:hAnsi="宋体" w:eastAsia="宋体" w:cs="宋体"/>
          <w:b/>
          <w:bCs w:val="0"/>
          <w:sz w:val="24"/>
          <w:szCs w:val="24"/>
          <w:highlight w:val="none"/>
          <w:lang w:val="en-US" w:eastAsia="zh-CN"/>
        </w:rPr>
        <w:t>商务部分（提供复印件加盖</w:t>
      </w:r>
      <w:r>
        <w:rPr>
          <w:rFonts w:hint="eastAsia" w:ascii="宋体" w:hAnsi="宋体" w:cs="宋体"/>
          <w:b/>
          <w:bCs w:val="0"/>
          <w:sz w:val="24"/>
          <w:szCs w:val="24"/>
          <w:highlight w:val="none"/>
          <w:lang w:val="en-US" w:eastAsia="zh-CN"/>
        </w:rPr>
        <w:t>供应商</w:t>
      </w:r>
      <w:r>
        <w:rPr>
          <w:rFonts w:hint="eastAsia" w:ascii="宋体" w:hAnsi="宋体" w:eastAsia="宋体" w:cs="宋体"/>
          <w:b/>
          <w:bCs w:val="0"/>
          <w:sz w:val="24"/>
          <w:szCs w:val="24"/>
          <w:highlight w:val="none"/>
          <w:lang w:val="en-US" w:eastAsia="zh-CN"/>
        </w:rPr>
        <w:t>公章）</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*3.2.1营业执照副本(“三证合一”的营业执照副本）或事业单位法人证书复印件加盖公章。</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*3.2.2法定代表人身份证明书或授权委托书原件。</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3.2.3上一年度的财务状况（资产负债表和利润表）或由会计师事务所出具的审计报告和所附已审财务报告资料复印件加盖公章。【供应商成立不满一年的不需提供】</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3.2.4近一年任意月份依法缴纳税收的相关材料复印件加盖公章。【提供相关主管部门证明或银行代扣证明】</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3.2.5近半年任意月份缴纳社会保障的相关材料复印件加盖公章。【提供相关主管部门证明或银行代扣证明】</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3.2.6具备履行合同所必需的设备和专业技术能力的书面声明。</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3.2.7参加政府采购活动前3年内在经营活动中没有重大违法记录的书面声明。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default" w:ascii="宋体" w:hAnsi="宋体" w:cs="宋体"/>
          <w:b/>
          <w:bCs w:val="0"/>
          <w:sz w:val="24"/>
          <w:szCs w:val="24"/>
          <w:highlight w:val="none"/>
          <w:lang w:val="en-US" w:eastAsia="zh-CN"/>
        </w:rPr>
      </w:pPr>
      <w:r>
        <w:rPr>
          <w:rFonts w:hint="eastAsia" w:ascii="宋体" w:hAnsi="宋体" w:cs="宋体"/>
          <w:b/>
          <w:bCs w:val="0"/>
          <w:sz w:val="24"/>
          <w:szCs w:val="24"/>
          <w:highlight w:val="none"/>
          <w:lang w:val="en-US" w:eastAsia="zh-CN"/>
        </w:rPr>
        <w:t>注:以上加“*”材料若不符合投标资格要求（或资料不齐全、资料不合格），则资格审查不通过。</w:t>
      </w: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eastAsia" w:ascii="宋体" w:hAnsi="宋体" w:cs="宋体"/>
          <w:b/>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default" w:ascii="宋体" w:hAnsi="宋体" w:cs="宋体"/>
          <w:b/>
          <w:bCs w:val="0"/>
          <w:sz w:val="24"/>
          <w:szCs w:val="24"/>
          <w:lang w:val="en-US" w:eastAsia="zh-CN"/>
        </w:rPr>
      </w:pPr>
      <w:r>
        <w:rPr>
          <w:rFonts w:hint="eastAsia" w:ascii="宋体" w:hAnsi="宋体" w:cs="宋体"/>
          <w:b/>
          <w:bCs w:val="0"/>
          <w:sz w:val="24"/>
          <w:szCs w:val="24"/>
          <w:lang w:val="en-US" w:eastAsia="zh-CN"/>
        </w:rPr>
        <w:t>3.3技术部分</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3.3.1技术要求响应及偏离表；</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3.3.2项目技术方案、质量保证、服务承诺等。</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
          <w:sz w:val="24"/>
          <w:szCs w:val="24"/>
          <w:lang w:val="en-US" w:eastAsia="zh-CN"/>
        </w:rPr>
      </w:pPr>
      <w:r>
        <w:rPr>
          <w:rFonts w:hint="eastAsia" w:ascii="宋体" w:hAnsi="宋体" w:cs="宋体"/>
          <w:b/>
          <w:sz w:val="24"/>
          <w:szCs w:val="24"/>
          <w:lang w:val="en-US" w:eastAsia="zh-CN"/>
        </w:rPr>
        <w:t>*4</w:t>
      </w:r>
      <w:r>
        <w:rPr>
          <w:rFonts w:hint="eastAsia" w:ascii="宋体" w:hAnsi="宋体" w:eastAsia="宋体" w:cs="宋体"/>
          <w:b/>
          <w:sz w:val="24"/>
          <w:szCs w:val="24"/>
          <w:lang w:val="en-US" w:eastAsia="zh-CN"/>
        </w:rPr>
        <w:t>.响应文件的编制要求</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4.1</w:t>
      </w:r>
      <w:r>
        <w:rPr>
          <w:rFonts w:hint="eastAsia" w:ascii="宋体" w:hAnsi="宋体" w:eastAsia="宋体" w:cs="宋体"/>
          <w:sz w:val="24"/>
          <w:szCs w:val="24"/>
          <w:lang w:val="en-US" w:eastAsia="zh-CN"/>
        </w:rPr>
        <w:t>供应商应仔细阅读采购文件所有内容，按采购文件的要求提供响应文件，并保证所提供的全部资料的真实性及正确性，以使其响应文件对采购文件做出实质性响应，否则，其报价将被拒绝。</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4.2</w:t>
      </w:r>
      <w:r>
        <w:rPr>
          <w:rFonts w:hint="eastAsia" w:ascii="宋体" w:hAnsi="宋体" w:eastAsia="宋体" w:cs="宋体"/>
          <w:sz w:val="24"/>
          <w:szCs w:val="24"/>
          <w:lang w:val="en-US" w:eastAsia="zh-CN"/>
        </w:rPr>
        <w:t>供应商必须依照采购文件提供的表式和要求制作。</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4.3</w:t>
      </w:r>
      <w:r>
        <w:rPr>
          <w:rFonts w:hint="eastAsia" w:ascii="宋体" w:hAnsi="宋体" w:eastAsia="宋体" w:cs="宋体"/>
          <w:sz w:val="24"/>
          <w:szCs w:val="24"/>
          <w:lang w:val="en-US" w:eastAsia="zh-CN"/>
        </w:rPr>
        <w:t>供应商按采购文件的规定，编制响应文件“正本”</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份、“副本”</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份。响应文件正本和副本如有不一致之处，以正本为准</w:t>
      </w:r>
      <w:r>
        <w:rPr>
          <w:rFonts w:hint="eastAsia" w:ascii="宋体" w:hAnsi="宋体" w:cs="宋体"/>
          <w:sz w:val="24"/>
          <w:szCs w:val="24"/>
          <w:lang w:val="en-US" w:eastAsia="zh-CN"/>
        </w:rPr>
        <w:t>，</w:t>
      </w:r>
      <w:r>
        <w:rPr>
          <w:rFonts w:hint="eastAsia" w:ascii="宋体" w:hAnsi="宋体"/>
          <w:sz w:val="24"/>
          <w:lang w:eastAsia="zh-CN"/>
        </w:rPr>
        <w:t>响应文件</w:t>
      </w:r>
      <w:r>
        <w:rPr>
          <w:rFonts w:hint="eastAsia" w:ascii="宋体" w:hAnsi="宋体"/>
          <w:sz w:val="24"/>
        </w:rPr>
        <w:t>须法人代表或授权代表签署</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4.4</w:t>
      </w:r>
      <w:r>
        <w:rPr>
          <w:rFonts w:hint="eastAsia" w:ascii="宋体" w:hAnsi="宋体" w:eastAsia="宋体" w:cs="宋体"/>
          <w:sz w:val="24"/>
          <w:szCs w:val="24"/>
          <w:lang w:val="en-US" w:eastAsia="zh-CN"/>
        </w:rPr>
        <w:t>响应文件正本与副本均应使用A4纸统一装订且均应使用不能擦去的墨水打印或书写，由供应商法定代表人或其授权委托人亲自签署并加盖法人单位公章。</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4.5</w:t>
      </w:r>
      <w:r>
        <w:rPr>
          <w:rFonts w:hint="eastAsia" w:ascii="宋体" w:hAnsi="宋体" w:eastAsia="宋体" w:cs="宋体"/>
          <w:sz w:val="24"/>
          <w:szCs w:val="24"/>
          <w:lang w:val="en-US" w:eastAsia="zh-CN"/>
        </w:rPr>
        <w:t>响应文件应无涂改和行间插字，除非这些删改是根据</w:t>
      </w:r>
      <w:r>
        <w:rPr>
          <w:rFonts w:hint="eastAsia" w:ascii="宋体" w:hAnsi="宋体" w:cs="宋体"/>
          <w:sz w:val="24"/>
          <w:szCs w:val="24"/>
          <w:lang w:val="en-US" w:eastAsia="zh-CN"/>
        </w:rPr>
        <w:t>代理机构</w:t>
      </w:r>
      <w:r>
        <w:rPr>
          <w:rFonts w:hint="eastAsia" w:ascii="宋体" w:hAnsi="宋体" w:eastAsia="宋体" w:cs="宋体"/>
          <w:sz w:val="24"/>
          <w:szCs w:val="24"/>
          <w:lang w:val="en-US" w:eastAsia="zh-CN"/>
        </w:rPr>
        <w:t>指示进行的，或者是供应商造成的必须修改的错误，但修改处应由响应文件签字人签字证明并加盖印鉴，否则修改无效。</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cs="宋体"/>
          <w:b/>
          <w:sz w:val="24"/>
          <w:szCs w:val="24"/>
          <w:lang w:val="zh-CN" w:eastAsia="zh-CN"/>
        </w:rPr>
      </w:pPr>
      <w:r>
        <w:rPr>
          <w:rFonts w:hint="eastAsia" w:ascii="宋体" w:hAnsi="宋体" w:cs="宋体"/>
          <w:b/>
          <w:sz w:val="24"/>
          <w:szCs w:val="24"/>
          <w:lang w:val="en-US" w:eastAsia="zh-CN"/>
        </w:rPr>
        <w:t>5.</w:t>
      </w:r>
      <w:r>
        <w:rPr>
          <w:rFonts w:hint="eastAsia" w:ascii="宋体" w:hAnsi="宋体" w:cs="宋体"/>
          <w:b/>
          <w:sz w:val="24"/>
          <w:szCs w:val="24"/>
          <w:lang w:val="zh-CN" w:eastAsia="zh-CN"/>
        </w:rPr>
        <w:t>响应文件密封和递交</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sz w:val="24"/>
        </w:rPr>
      </w:pPr>
      <w:r>
        <w:rPr>
          <w:rFonts w:hint="eastAsia" w:ascii="宋体" w:hAnsi="宋体"/>
          <w:sz w:val="24"/>
          <w:lang w:val="en-US" w:eastAsia="zh-CN"/>
        </w:rPr>
        <w:t>5.1</w:t>
      </w:r>
      <w:r>
        <w:rPr>
          <w:rFonts w:hint="eastAsia" w:ascii="宋体" w:hAnsi="宋体"/>
          <w:sz w:val="24"/>
        </w:rPr>
        <w:t>响应文件应于谈判邀请规定的时间之前递交至指定的地点。</w:t>
      </w:r>
    </w:p>
    <w:p>
      <w:pPr>
        <w:pStyle w:val="5"/>
        <w:keepNext w:val="0"/>
        <w:keepLines w:val="0"/>
        <w:pageBreakBefore w:val="0"/>
        <w:widowControl w:val="0"/>
        <w:kinsoku/>
        <w:wordWrap/>
        <w:overflowPunct w:val="0"/>
        <w:topLinePunct w:val="0"/>
        <w:bidi w:val="0"/>
        <w:adjustRightInd w:val="0"/>
        <w:snapToGrid w:val="0"/>
        <w:spacing w:line="312" w:lineRule="auto"/>
        <w:ind w:left="0" w:leftChars="0" w:firstLine="240" w:firstLineChars="100"/>
        <w:jc w:val="both"/>
        <w:textAlignment w:val="auto"/>
        <w:rPr>
          <w:rFonts w:hint="eastAsia" w:ascii="宋体" w:hAnsi="宋体" w:eastAsia="宋体" w:cs="宋体"/>
          <w:sz w:val="24"/>
          <w:szCs w:val="24"/>
        </w:rPr>
      </w:pPr>
      <w:r>
        <w:rPr>
          <w:rFonts w:hint="eastAsia" w:ascii="宋体" w:hAnsi="宋体"/>
          <w:sz w:val="24"/>
          <w:lang w:val="en-US" w:eastAsia="zh-CN"/>
        </w:rPr>
        <w:t>5.2</w:t>
      </w:r>
      <w:r>
        <w:rPr>
          <w:rFonts w:hint="eastAsia" w:ascii="宋体" w:hAnsi="宋体"/>
          <w:sz w:val="24"/>
        </w:rPr>
        <w:t>响应文件应装入封袋，封面注明：采购文件编号、供应商名称、地址、电话，封口处加盖供应商公章。</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cs="宋体"/>
          <w:b/>
          <w:sz w:val="24"/>
          <w:szCs w:val="24"/>
          <w:lang w:val="zh-CN" w:eastAsia="zh-CN"/>
        </w:rPr>
      </w:pPr>
      <w:r>
        <w:rPr>
          <w:rFonts w:hint="eastAsia" w:ascii="宋体" w:hAnsi="宋体" w:cs="宋体"/>
          <w:b/>
          <w:sz w:val="24"/>
          <w:szCs w:val="24"/>
          <w:lang w:val="en-US" w:eastAsia="zh-CN"/>
        </w:rPr>
        <w:t>6.</w:t>
      </w:r>
      <w:r>
        <w:rPr>
          <w:rFonts w:hint="eastAsia" w:ascii="宋体" w:hAnsi="宋体" w:cs="宋体"/>
          <w:b/>
          <w:sz w:val="24"/>
          <w:szCs w:val="24"/>
          <w:lang w:val="zh-CN" w:eastAsia="zh-CN"/>
        </w:rPr>
        <w:t>协商</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sz w:val="24"/>
        </w:rPr>
      </w:pPr>
      <w:r>
        <w:rPr>
          <w:rFonts w:hint="eastAsia" w:ascii="宋体" w:hAnsi="宋体"/>
          <w:sz w:val="24"/>
        </w:rPr>
        <w:t>在采购文件规定的递交响应文件截止时间后，</w:t>
      </w:r>
      <w:r>
        <w:rPr>
          <w:rFonts w:hint="eastAsia" w:ascii="宋体" w:hAnsi="宋体"/>
          <w:sz w:val="24"/>
          <w:lang w:val="zh-CN"/>
        </w:rPr>
        <w:t>常州新禾招投标有限公司</w:t>
      </w:r>
      <w:r>
        <w:rPr>
          <w:rFonts w:hint="eastAsia" w:ascii="宋体" w:hAnsi="宋体"/>
          <w:sz w:val="24"/>
        </w:rPr>
        <w:t>组织具有相关经验的专业人员与供应商商定合理的成交价格、服务范围及要求等内容保证采购项目质量。</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sz w:val="24"/>
        </w:rPr>
      </w:pPr>
      <w:r>
        <w:rPr>
          <w:rFonts w:hint="eastAsia" w:ascii="宋体" w:hAnsi="宋体" w:cs="宋体"/>
          <w:b/>
          <w:sz w:val="24"/>
          <w:szCs w:val="24"/>
          <w:lang w:val="en-US" w:eastAsia="zh-CN"/>
        </w:rPr>
        <w:t>7.</w:t>
      </w:r>
      <w:r>
        <w:rPr>
          <w:rFonts w:hint="eastAsia" w:ascii="宋体" w:hAnsi="宋体" w:cs="宋体"/>
          <w:b/>
          <w:sz w:val="24"/>
          <w:szCs w:val="24"/>
          <w:lang w:val="zh-CN" w:eastAsia="zh-CN"/>
        </w:rPr>
        <w:t>出现下列情形之一的，终止采购活动：</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sz w:val="24"/>
        </w:rPr>
      </w:pPr>
      <w:r>
        <w:rPr>
          <w:rFonts w:hint="eastAsia" w:ascii="宋体" w:hAnsi="宋体"/>
          <w:sz w:val="24"/>
        </w:rPr>
        <w:t>　</w:t>
      </w:r>
      <w:r>
        <w:rPr>
          <w:rFonts w:hint="eastAsia" w:ascii="宋体" w:hAnsi="宋体"/>
          <w:sz w:val="24"/>
          <w:lang w:val="en-US" w:eastAsia="zh-CN"/>
        </w:rPr>
        <w:t>7.1</w:t>
      </w:r>
      <w:r>
        <w:rPr>
          <w:rFonts w:hint="eastAsia" w:ascii="宋体" w:hAnsi="宋体"/>
          <w:sz w:val="24"/>
        </w:rPr>
        <w:t>因情况变化，不再符合规定的单一来源采购方式适用情形的；</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sz w:val="24"/>
        </w:rPr>
      </w:pPr>
      <w:r>
        <w:rPr>
          <w:rFonts w:hint="eastAsia" w:ascii="宋体" w:hAnsi="宋体"/>
          <w:sz w:val="24"/>
        </w:rPr>
        <w:t>　</w:t>
      </w:r>
      <w:r>
        <w:rPr>
          <w:rFonts w:hint="eastAsia" w:ascii="宋体" w:hAnsi="宋体"/>
          <w:sz w:val="24"/>
          <w:lang w:val="en-US" w:eastAsia="zh-CN"/>
        </w:rPr>
        <w:t>7.2</w:t>
      </w:r>
      <w:r>
        <w:rPr>
          <w:rFonts w:hint="eastAsia" w:ascii="宋体" w:hAnsi="宋体"/>
          <w:sz w:val="24"/>
        </w:rPr>
        <w:t>出现影响采购公正的违法、违规行为的；</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sz w:val="24"/>
        </w:rPr>
      </w:pPr>
      <w:r>
        <w:rPr>
          <w:rFonts w:hint="eastAsia" w:ascii="宋体" w:hAnsi="宋体"/>
          <w:sz w:val="24"/>
        </w:rPr>
        <w:t>　</w:t>
      </w:r>
      <w:r>
        <w:rPr>
          <w:rFonts w:hint="eastAsia" w:ascii="宋体" w:hAnsi="宋体"/>
          <w:sz w:val="24"/>
          <w:lang w:val="en-US" w:eastAsia="zh-CN"/>
        </w:rPr>
        <w:t>7.3</w:t>
      </w:r>
      <w:r>
        <w:rPr>
          <w:rFonts w:hint="eastAsia" w:ascii="宋体" w:hAnsi="宋体"/>
          <w:sz w:val="24"/>
        </w:rPr>
        <w:t>报价超过采购预算的。</w:t>
      </w:r>
    </w:p>
    <w:p>
      <w:pPr>
        <w:pStyle w:val="5"/>
        <w:keepNext w:val="0"/>
        <w:keepLines w:val="0"/>
        <w:pageBreakBefore w:val="0"/>
        <w:widowControl w:val="0"/>
        <w:numPr>
          <w:ilvl w:val="0"/>
          <w:numId w:val="0"/>
        </w:numPr>
        <w:kinsoku/>
        <w:wordWrap/>
        <w:overflowPunct w:val="0"/>
        <w:topLinePunct w:val="0"/>
        <w:bidi w:val="0"/>
        <w:adjustRightInd w:val="0"/>
        <w:snapToGrid w:val="0"/>
        <w:spacing w:line="312" w:lineRule="auto"/>
        <w:jc w:val="both"/>
        <w:textAlignment w:val="auto"/>
        <w:rPr>
          <w:rFonts w:hint="eastAsia" w:ascii="宋体" w:hAnsi="宋体" w:eastAsia="宋体" w:cs="宋体"/>
          <w:b/>
          <w:sz w:val="24"/>
          <w:szCs w:val="24"/>
          <w:lang w:eastAsia="zh-CN"/>
        </w:rPr>
      </w:pPr>
      <w:r>
        <w:rPr>
          <w:rFonts w:hint="eastAsia" w:hAnsi="宋体" w:cs="宋体"/>
          <w:b/>
          <w:sz w:val="24"/>
          <w:szCs w:val="24"/>
          <w:lang w:val="en-US" w:eastAsia="zh-CN"/>
        </w:rPr>
        <w:t>8.</w:t>
      </w:r>
      <w:r>
        <w:rPr>
          <w:rFonts w:hint="eastAsia" w:ascii="宋体" w:hAnsi="宋体" w:eastAsia="宋体" w:cs="宋体"/>
          <w:b/>
          <w:sz w:val="24"/>
          <w:szCs w:val="24"/>
          <w:lang w:eastAsia="zh-CN"/>
        </w:rPr>
        <w:t>成交结果公告及成交通知书</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8.1</w:t>
      </w:r>
      <w:r>
        <w:rPr>
          <w:rFonts w:hint="eastAsia" w:ascii="宋体" w:hAnsi="宋体" w:eastAsia="宋体" w:cs="宋体"/>
          <w:sz w:val="24"/>
          <w:szCs w:val="24"/>
        </w:rPr>
        <w:t>采购人或者采购代理机构应当自</w:t>
      </w:r>
      <w:r>
        <w:rPr>
          <w:rFonts w:hint="eastAsia" w:ascii="宋体" w:hAnsi="宋体" w:eastAsia="宋体" w:cs="宋体"/>
          <w:sz w:val="24"/>
          <w:szCs w:val="24"/>
          <w:lang w:eastAsia="zh-CN"/>
        </w:rPr>
        <w:t>成交单位</w:t>
      </w:r>
      <w:r>
        <w:rPr>
          <w:rFonts w:hint="eastAsia" w:ascii="宋体" w:hAnsi="宋体" w:eastAsia="宋体" w:cs="宋体"/>
          <w:sz w:val="24"/>
          <w:szCs w:val="24"/>
        </w:rPr>
        <w:t>确定之日起2个工作日内，在省级以上财政部门指定的媒体上公告</w:t>
      </w:r>
      <w:r>
        <w:rPr>
          <w:rFonts w:hint="eastAsia" w:ascii="宋体" w:hAnsi="宋体" w:eastAsia="宋体" w:cs="宋体"/>
          <w:sz w:val="24"/>
          <w:szCs w:val="24"/>
          <w:lang w:eastAsia="zh-CN"/>
        </w:rPr>
        <w:t>成交结果</w:t>
      </w:r>
      <w:r>
        <w:rPr>
          <w:rFonts w:hint="eastAsia" w:ascii="宋体" w:hAnsi="宋体" w:eastAsia="宋体" w:cs="宋体"/>
          <w:sz w:val="24"/>
          <w:szCs w:val="24"/>
        </w:rPr>
        <w:t>，</w:t>
      </w:r>
      <w:r>
        <w:rPr>
          <w:rFonts w:hint="eastAsia" w:ascii="宋体" w:hAnsi="宋体" w:eastAsia="宋体" w:cs="宋体"/>
          <w:sz w:val="24"/>
          <w:szCs w:val="24"/>
          <w:lang w:eastAsia="zh-CN"/>
        </w:rPr>
        <w:t>成交通知书</w:t>
      </w:r>
      <w:r>
        <w:rPr>
          <w:rFonts w:hint="eastAsia" w:ascii="宋体" w:hAnsi="宋体" w:eastAsia="宋体" w:cs="宋体"/>
          <w:sz w:val="24"/>
          <w:szCs w:val="24"/>
        </w:rPr>
        <w:t>将同时发出，</w:t>
      </w:r>
      <w:r>
        <w:rPr>
          <w:rFonts w:hint="eastAsia" w:ascii="宋体" w:hAnsi="宋体" w:eastAsia="宋体" w:cs="宋体"/>
          <w:sz w:val="24"/>
          <w:szCs w:val="24"/>
          <w:lang w:eastAsia="zh-CN"/>
        </w:rPr>
        <w:t>成交公告</w:t>
      </w:r>
      <w:r>
        <w:rPr>
          <w:rFonts w:hint="eastAsia" w:ascii="宋体" w:hAnsi="宋体" w:eastAsia="宋体" w:cs="宋体"/>
          <w:sz w:val="24"/>
          <w:szCs w:val="24"/>
        </w:rPr>
        <w:t>期限为1个工作日。</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hAnsi="宋体" w:cs="宋体"/>
          <w:sz w:val="24"/>
          <w:szCs w:val="24"/>
          <w:lang w:val="en-US" w:eastAsia="zh-CN"/>
        </w:rPr>
        <w:t>8.2</w:t>
      </w:r>
      <w:r>
        <w:rPr>
          <w:rFonts w:hint="eastAsia" w:ascii="宋体" w:hAnsi="宋体" w:eastAsia="宋体" w:cs="宋体"/>
          <w:sz w:val="24"/>
          <w:szCs w:val="24"/>
          <w:lang w:eastAsia="zh-CN"/>
        </w:rPr>
        <w:t>成交通知书</w:t>
      </w:r>
      <w:r>
        <w:rPr>
          <w:rFonts w:hint="eastAsia" w:ascii="宋体" w:hAnsi="宋体" w:eastAsia="宋体" w:cs="宋体"/>
          <w:sz w:val="24"/>
          <w:szCs w:val="24"/>
        </w:rPr>
        <w:t>发出后，</w:t>
      </w:r>
      <w:r>
        <w:rPr>
          <w:rFonts w:hint="eastAsia" w:ascii="宋体" w:hAnsi="宋体" w:eastAsia="宋体" w:cs="宋体"/>
          <w:sz w:val="24"/>
          <w:szCs w:val="24"/>
          <w:lang w:eastAsia="zh-CN"/>
        </w:rPr>
        <w:t>采购人</w:t>
      </w:r>
      <w:r>
        <w:rPr>
          <w:rFonts w:hint="eastAsia" w:ascii="宋体" w:hAnsi="宋体" w:eastAsia="宋体" w:cs="宋体"/>
          <w:sz w:val="24"/>
          <w:szCs w:val="24"/>
        </w:rPr>
        <w:t>放弃采购结果或者</w:t>
      </w:r>
      <w:r>
        <w:rPr>
          <w:rFonts w:hint="eastAsia" w:ascii="宋体" w:hAnsi="宋体" w:eastAsia="宋体" w:cs="宋体"/>
          <w:sz w:val="24"/>
          <w:szCs w:val="24"/>
          <w:lang w:eastAsia="zh-CN"/>
        </w:rPr>
        <w:t>成交单位</w:t>
      </w:r>
      <w:r>
        <w:rPr>
          <w:rFonts w:hint="eastAsia" w:ascii="宋体" w:hAnsi="宋体" w:eastAsia="宋体" w:cs="宋体"/>
          <w:sz w:val="24"/>
          <w:szCs w:val="24"/>
        </w:rPr>
        <w:t>放弃中标，均应当承担相应的法律责任，且不影响</w:t>
      </w:r>
      <w:r>
        <w:rPr>
          <w:rFonts w:hint="eastAsia" w:ascii="宋体" w:hAnsi="宋体" w:eastAsia="宋体" w:cs="宋体"/>
          <w:sz w:val="24"/>
          <w:szCs w:val="24"/>
          <w:lang w:eastAsia="zh-CN"/>
        </w:rPr>
        <w:t>成交</w:t>
      </w:r>
      <w:r>
        <w:rPr>
          <w:rFonts w:hint="eastAsia" w:ascii="宋体" w:hAnsi="宋体" w:eastAsia="宋体" w:cs="宋体"/>
          <w:sz w:val="24"/>
          <w:szCs w:val="24"/>
        </w:rPr>
        <w:t>服务费的支付。</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int="eastAsia" w:ascii="宋体" w:hAnsi="宋体" w:eastAsia="宋体" w:cs="宋体"/>
          <w:sz w:val="24"/>
          <w:szCs w:val="24"/>
        </w:rPr>
      </w:pPr>
      <w:r>
        <w:rPr>
          <w:rFonts w:hint="eastAsia" w:hAnsi="宋体" w:cs="宋体"/>
          <w:sz w:val="24"/>
          <w:szCs w:val="24"/>
          <w:lang w:val="en-US" w:eastAsia="zh-CN"/>
        </w:rPr>
        <w:t>8.3</w:t>
      </w:r>
      <w:r>
        <w:rPr>
          <w:rFonts w:hint="eastAsia" w:ascii="宋体" w:hAnsi="宋体" w:eastAsia="宋体" w:cs="宋体"/>
          <w:sz w:val="24"/>
          <w:szCs w:val="24"/>
        </w:rPr>
        <w:t>采购代理机构及</w:t>
      </w:r>
      <w:r>
        <w:rPr>
          <w:rFonts w:hint="eastAsia" w:ascii="宋体" w:hAnsi="宋体" w:eastAsia="宋体" w:cs="宋体"/>
          <w:sz w:val="24"/>
          <w:szCs w:val="24"/>
          <w:lang w:eastAsia="zh-CN"/>
        </w:rPr>
        <w:t>采购人</w:t>
      </w:r>
      <w:r>
        <w:rPr>
          <w:rFonts w:hint="eastAsia" w:ascii="宋体" w:hAnsi="宋体" w:eastAsia="宋体" w:cs="宋体"/>
          <w:sz w:val="24"/>
          <w:szCs w:val="24"/>
        </w:rPr>
        <w:t>对未</w:t>
      </w:r>
      <w:r>
        <w:rPr>
          <w:rFonts w:hint="eastAsia" w:ascii="宋体" w:hAnsi="宋体" w:eastAsia="宋体" w:cs="宋体"/>
          <w:sz w:val="24"/>
          <w:szCs w:val="24"/>
          <w:lang w:eastAsia="zh-CN"/>
        </w:rPr>
        <w:t>成交单位</w:t>
      </w:r>
      <w:r>
        <w:rPr>
          <w:rFonts w:hint="eastAsia" w:ascii="宋体" w:hAnsi="宋体" w:eastAsia="宋体" w:cs="宋体"/>
          <w:sz w:val="24"/>
          <w:szCs w:val="24"/>
        </w:rPr>
        <w:t>不承担解释未</w:t>
      </w:r>
      <w:r>
        <w:rPr>
          <w:rFonts w:hint="eastAsia" w:ascii="宋体" w:hAnsi="宋体" w:eastAsia="宋体" w:cs="宋体"/>
          <w:sz w:val="24"/>
          <w:szCs w:val="24"/>
          <w:lang w:eastAsia="zh-CN"/>
        </w:rPr>
        <w:t>成交</w:t>
      </w:r>
      <w:r>
        <w:rPr>
          <w:rFonts w:hint="eastAsia" w:ascii="宋体" w:hAnsi="宋体" w:eastAsia="宋体" w:cs="宋体"/>
          <w:sz w:val="24"/>
          <w:szCs w:val="24"/>
        </w:rPr>
        <w:t>原因的义务。</w:t>
      </w:r>
    </w:p>
    <w:p>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ascii="宋体" w:hAnsi="宋体" w:eastAsia="宋体" w:cs="宋体"/>
          <w:b/>
          <w:sz w:val="24"/>
          <w:szCs w:val="24"/>
        </w:rPr>
      </w:pPr>
      <w:r>
        <w:rPr>
          <w:rFonts w:hint="eastAsia" w:hAnsi="宋体" w:cs="宋体"/>
          <w:b/>
          <w:sz w:val="24"/>
          <w:szCs w:val="24"/>
          <w:lang w:val="en-US" w:eastAsia="zh-CN"/>
        </w:rPr>
        <w:t>9.</w:t>
      </w:r>
      <w:r>
        <w:rPr>
          <w:rFonts w:hint="eastAsia" w:ascii="宋体" w:hAnsi="宋体" w:eastAsia="宋体" w:cs="宋体"/>
          <w:b/>
          <w:sz w:val="24"/>
          <w:szCs w:val="24"/>
        </w:rPr>
        <w:t>采购代理机构服务费</w:t>
      </w:r>
    </w:p>
    <w:p>
      <w:pPr>
        <w:pStyle w:val="5"/>
        <w:keepNext w:val="0"/>
        <w:keepLines w:val="0"/>
        <w:pageBreakBefore w:val="0"/>
        <w:widowControl w:val="0"/>
        <w:kinsoku/>
        <w:wordWrap/>
        <w:overflowPunct w:val="0"/>
        <w:topLinePunct w:val="0"/>
        <w:bidi w:val="0"/>
        <w:adjustRightInd w:val="0"/>
        <w:snapToGrid w:val="0"/>
        <w:spacing w:line="312" w:lineRule="auto"/>
        <w:textAlignment w:val="auto"/>
        <w:rPr>
          <w:rFonts w:hint="eastAsia" w:ascii="宋体" w:hAnsi="宋体" w:eastAsia="宋体" w:cs="宋体"/>
          <w:sz w:val="24"/>
          <w:szCs w:val="24"/>
        </w:rPr>
      </w:pPr>
      <w:r>
        <w:rPr>
          <w:rFonts w:hint="eastAsia" w:ascii="宋体" w:hAnsi="宋体" w:eastAsia="宋体" w:cs="宋体"/>
          <w:sz w:val="24"/>
          <w:szCs w:val="24"/>
        </w:rPr>
        <w:t>本项目代理费由</w:t>
      </w:r>
      <w:r>
        <w:rPr>
          <w:rFonts w:hint="eastAsia" w:ascii="宋体" w:hAnsi="宋体" w:eastAsia="宋体" w:cs="宋体"/>
          <w:sz w:val="24"/>
          <w:szCs w:val="24"/>
          <w:lang w:eastAsia="zh-CN"/>
        </w:rPr>
        <w:t>成交单位</w:t>
      </w:r>
      <w:r>
        <w:rPr>
          <w:rFonts w:hint="eastAsia" w:ascii="宋体" w:hAnsi="宋体" w:eastAsia="宋体" w:cs="宋体"/>
          <w:sz w:val="24"/>
          <w:szCs w:val="24"/>
        </w:rPr>
        <w:t>支付，代理服务费按成交金额*标准收费</w:t>
      </w:r>
      <w:r>
        <w:rPr>
          <w:rFonts w:hint="eastAsia" w:ascii="宋体" w:hAnsi="宋体" w:eastAsia="宋体" w:cs="宋体"/>
          <w:sz w:val="24"/>
          <w:szCs w:val="24"/>
          <w:lang w:eastAsia="zh-CN"/>
        </w:rPr>
        <w:t>费</w:t>
      </w:r>
      <w:r>
        <w:rPr>
          <w:rFonts w:hint="eastAsia" w:ascii="宋体" w:hAnsi="宋体" w:eastAsia="宋体" w:cs="宋体"/>
          <w:sz w:val="24"/>
          <w:szCs w:val="24"/>
        </w:rPr>
        <w:t>率进行计算。</w:t>
      </w:r>
      <w:r>
        <w:rPr>
          <w:rFonts w:hint="eastAsia" w:ascii="宋体" w:hAnsi="宋体" w:eastAsia="宋体" w:cs="宋体"/>
          <w:sz w:val="24"/>
          <w:szCs w:val="24"/>
          <w:lang w:eastAsia="zh-CN"/>
        </w:rPr>
        <w:t>成交单位</w:t>
      </w:r>
      <w:r>
        <w:rPr>
          <w:rFonts w:hint="eastAsia" w:ascii="宋体" w:hAnsi="宋体" w:eastAsia="宋体" w:cs="宋体"/>
          <w:sz w:val="24"/>
          <w:szCs w:val="24"/>
        </w:rPr>
        <w:t>应在合同签订前将</w:t>
      </w:r>
      <w:r>
        <w:rPr>
          <w:rFonts w:hint="eastAsia" w:ascii="宋体" w:hAnsi="宋体" w:eastAsia="宋体" w:cs="宋体"/>
          <w:sz w:val="24"/>
          <w:szCs w:val="24"/>
          <w:lang w:eastAsia="zh-CN"/>
        </w:rPr>
        <w:t>成交</w:t>
      </w:r>
      <w:r>
        <w:rPr>
          <w:rFonts w:hint="eastAsia" w:ascii="宋体" w:hAnsi="宋体" w:eastAsia="宋体" w:cs="宋体"/>
          <w:sz w:val="24"/>
          <w:szCs w:val="24"/>
        </w:rPr>
        <w:t>服务费付至常州</w:t>
      </w:r>
      <w:r>
        <w:rPr>
          <w:rFonts w:hint="eastAsia" w:hAnsi="宋体" w:cs="宋体"/>
          <w:sz w:val="24"/>
          <w:szCs w:val="24"/>
          <w:lang w:eastAsia="zh-CN"/>
        </w:rPr>
        <w:t>新禾</w:t>
      </w:r>
      <w:r>
        <w:rPr>
          <w:rFonts w:hint="eastAsia" w:ascii="宋体" w:hAnsi="宋体" w:eastAsia="宋体" w:cs="宋体"/>
          <w:sz w:val="24"/>
          <w:szCs w:val="24"/>
        </w:rPr>
        <w:t>招投标有限公司指定账户。</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采购代理服务收费标准</w:t>
      </w:r>
    </w:p>
    <w:tbl>
      <w:tblPr>
        <w:tblStyle w:val="21"/>
        <w:tblW w:w="6151"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616" w:type="dxa"/>
          </w:tcPr>
          <w:p>
            <w:pPr>
              <w:keepNext w:val="0"/>
              <w:keepLines w:val="0"/>
              <w:pageBreakBefore w:val="0"/>
              <w:widowControl w:val="0"/>
              <w:kinsoku/>
              <w:wordWrap/>
              <w:topLinePunct w:val="0"/>
              <w:bidi w:val="0"/>
              <w:adjustRightInd w:val="0"/>
              <w:snapToGrid w:val="0"/>
              <w:spacing w:line="312" w:lineRule="auto"/>
              <w:ind w:firstLine="945" w:firstLineChars="450"/>
              <w:textAlignment w:val="auto"/>
              <w:rPr>
                <w:rFonts w:ascii="宋体" w:hAnsi="宋体" w:cs="宋体"/>
                <w:bCs/>
                <w:sz w:val="24"/>
              </w:rPr>
            </w:pPr>
            <w:r>
              <w:rPr>
                <w:sz w:val="21"/>
              </w:rPr>
              <mc:AlternateContent>
                <mc:Choice Requires="wpg">
                  <w:drawing>
                    <wp:anchor distT="0" distB="0" distL="114300" distR="114300" simplePos="0" relativeHeight="251665408" behindDoc="0" locked="0" layoutInCell="1" allowOverlap="1">
                      <wp:simplePos x="0" y="0"/>
                      <wp:positionH relativeFrom="column">
                        <wp:posOffset>-60325</wp:posOffset>
                      </wp:positionH>
                      <wp:positionV relativeFrom="paragraph">
                        <wp:posOffset>-3810</wp:posOffset>
                      </wp:positionV>
                      <wp:extent cx="2312035" cy="1299210"/>
                      <wp:effectExtent l="1270" t="3810" r="3175" b="7620"/>
                      <wp:wrapNone/>
                      <wp:docPr id="10" name="组合 17"/>
                      <wp:cNvGraphicFramePr/>
                      <a:graphic xmlns:a="http://schemas.openxmlformats.org/drawingml/2006/main">
                        <a:graphicData uri="http://schemas.microsoft.com/office/word/2010/wordprocessingGroup">
                          <wpg:wgp>
                            <wpg:cNvGrpSpPr/>
                            <wpg:grpSpPr>
                              <a:xfrm>
                                <a:off x="0" y="0"/>
                                <a:ext cx="2312035" cy="1299210"/>
                                <a:chOff x="6845" y="131527"/>
                                <a:chExt cx="3641" cy="2046"/>
                              </a:xfrm>
                            </wpg:grpSpPr>
                            <wps:wsp>
                              <wps:cNvPr id="4" name="直线 15"/>
                              <wps:cNvCnPr/>
                              <wps:spPr>
                                <a:xfrm>
                                  <a:off x="6845" y="132741"/>
                                  <a:ext cx="3600" cy="805"/>
                                </a:xfrm>
                                <a:prstGeom prst="line">
                                  <a:avLst/>
                                </a:prstGeom>
                                <a:ln w="9525" cap="flat" cmpd="sng">
                                  <a:solidFill>
                                    <a:srgbClr val="000000"/>
                                  </a:solidFill>
                                  <a:prstDash val="solid"/>
                                  <a:headEnd type="none" w="med" len="med"/>
                                  <a:tailEnd type="none" w="med" len="med"/>
                                </a:ln>
                              </wps:spPr>
                              <wps:bodyPr upright="1"/>
                            </wps:wsp>
                            <wps:wsp>
                              <wps:cNvPr id="9" name="直线 16"/>
                              <wps:cNvCnPr/>
                              <wps:spPr>
                                <a:xfrm>
                                  <a:off x="7540" y="131527"/>
                                  <a:ext cx="2946" cy="2046"/>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7" o:spid="_x0000_s1026" o:spt="203" style="position:absolute;left:0pt;margin-left:-4.75pt;margin-top:-0.3pt;height:102.3pt;width:182.05pt;z-index:251665408;mso-width-relative:page;mso-height-relative:page;" coordorigin="6845,131527" coordsize="3641,2046" o:gfxdata="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Jf1bZTZAAAACAEAAA8AAAAAAAAAAQAgAAAAIgAAAGRycy9kb3ducmV2LnhtbFBLAQIUABQAAAAI&#10;AIdO4kBLjDuMlwIAAB4HAAAOAAAAAAAAAAEAIAAAACgBAABkcnMvZTJvRG9jLnhtbFBLBQYAAAAA&#10;BgAGAFkBAAAxBgAAAAA=&#10;">
                      <o:lock v:ext="edit" aspectratio="f"/>
                      <v:line id="直线 15" o:spid="_x0000_s1026" o:spt="20" style="position:absolute;left:6845;top:132741;height:805;width:3600;"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6" o:spid="_x0000_s1026" o:spt="20" style="position:absolute;left:7540;top:131527;height:2046;width:2946;"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ascii="宋体" w:hAnsi="宋体" w:cs="宋体"/>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pt;width:0.05pt;z-index:251664384;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5HTftUAAAAJAQAADwAAAAAAAAABACAAAAAiAAAAZHJzL2Rvd25yZXYueG1sUEsBAhQA&#10;FAAAAAgAh07iQHfQA3P1AQAA7gMAAA4AAAAAAAAAAQAgAAAAJAEAAGRycy9lMm9Eb2MueG1sUEsF&#10;BgAAAAAGAAYAWQEAAIsFAAAAAA==&#10;">
                      <v:fill on="f" focussize="0,0"/>
                      <v:stroke color="#000000" joinstyle="round"/>
                      <v:imagedata o:title=""/>
                      <o:lock v:ext="edit" aspectratio="f"/>
                    </v:line>
                  </w:pict>
                </mc:Fallback>
              </mc:AlternateContent>
            </w:r>
            <w:r>
              <w:rPr>
                <w:rFonts w:hint="eastAsia" w:ascii="宋体" w:hAnsi="宋体" w:cs="宋体"/>
                <w:bCs/>
                <w:sz w:val="24"/>
              </w:rPr>
              <w:t>服</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bCs/>
                <w:sz w:val="24"/>
              </w:rPr>
            </w:pPr>
            <w:r>
              <w:rPr>
                <w:rFonts w:hint="eastAsia" w:ascii="宋体" w:hAnsi="宋体" w:cs="宋体"/>
                <w:bCs/>
                <w:sz w:val="24"/>
              </w:rPr>
              <w:t>费　　　   务</w:t>
            </w:r>
          </w:p>
          <w:p>
            <w:pPr>
              <w:keepNext w:val="0"/>
              <w:keepLines w:val="0"/>
              <w:pageBreakBefore w:val="0"/>
              <w:widowControl w:val="0"/>
              <w:kinsoku/>
              <w:wordWrap/>
              <w:topLinePunct w:val="0"/>
              <w:bidi w:val="0"/>
              <w:adjustRightInd w:val="0"/>
              <w:snapToGrid w:val="0"/>
              <w:spacing w:line="312" w:lineRule="auto"/>
              <w:ind w:firstLine="1200" w:firstLineChars="500"/>
              <w:textAlignment w:val="auto"/>
              <w:rPr>
                <w:rFonts w:ascii="宋体" w:hAnsi="宋体" w:cs="宋体"/>
                <w:bCs/>
                <w:sz w:val="24"/>
              </w:rPr>
            </w:pPr>
            <w:r>
              <w:rPr>
                <w:rFonts w:hint="eastAsia" w:ascii="宋体" w:hAnsi="宋体" w:cs="宋体"/>
                <w:bCs/>
                <w:sz w:val="24"/>
              </w:rPr>
              <w:t xml:space="preserve">　     </w:t>
            </w:r>
            <w:r>
              <w:rPr>
                <w:rFonts w:hint="eastAsia" w:ascii="宋体" w:hAnsi="宋体" w:cs="宋体"/>
                <w:bCs/>
                <w:sz w:val="24"/>
                <w:lang w:val="en-US" w:eastAsia="zh-CN"/>
              </w:rPr>
              <w:t xml:space="preserve">  </w:t>
            </w:r>
            <w:r>
              <w:rPr>
                <w:rFonts w:hint="eastAsia" w:ascii="宋体" w:hAnsi="宋体" w:cs="宋体"/>
                <w:bCs/>
                <w:sz w:val="24"/>
              </w:rPr>
              <w:t>类</w:t>
            </w:r>
          </w:p>
          <w:p>
            <w:pPr>
              <w:keepNext w:val="0"/>
              <w:keepLines w:val="0"/>
              <w:pageBreakBefore w:val="0"/>
              <w:widowControl w:val="0"/>
              <w:kinsoku/>
              <w:wordWrap/>
              <w:topLinePunct w:val="0"/>
              <w:bidi w:val="0"/>
              <w:adjustRightInd w:val="0"/>
              <w:snapToGrid w:val="0"/>
              <w:spacing w:line="312" w:lineRule="auto"/>
              <w:ind w:firstLine="1560" w:firstLineChars="650"/>
              <w:textAlignment w:val="auto"/>
              <w:rPr>
                <w:rFonts w:ascii="宋体" w:hAnsi="宋体" w:cs="宋体"/>
                <w:bCs/>
                <w:sz w:val="24"/>
              </w:rPr>
            </w:pPr>
            <w:r>
              <w:rPr>
                <w:rFonts w:hint="eastAsia" w:ascii="宋体" w:hAnsi="宋体" w:cs="宋体"/>
                <w:bCs/>
                <w:sz w:val="24"/>
              </w:rPr>
              <w:t>率　      型</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Cs/>
                <w:sz w:val="24"/>
              </w:rPr>
            </w:pPr>
            <w:r>
              <w:rPr>
                <w:rFonts w:hint="eastAsia" w:ascii="宋体" w:hAnsi="宋体" w:cs="宋体"/>
                <w:bCs/>
                <w:sz w:val="24"/>
                <w:lang w:eastAsia="zh-CN"/>
              </w:rPr>
              <w:t>成交</w:t>
            </w:r>
            <w:r>
              <w:rPr>
                <w:rFonts w:hint="eastAsia" w:ascii="宋体" w:hAnsi="宋体" w:cs="宋体"/>
                <w:bCs/>
                <w:sz w:val="24"/>
              </w:rPr>
              <w:t>金额（万元）</w:t>
            </w:r>
          </w:p>
        </w:tc>
        <w:tc>
          <w:tcPr>
            <w:tcW w:w="2535" w:type="dxa"/>
            <w:vAlign w:val="center"/>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bCs/>
                <w:sz w:val="24"/>
              </w:rPr>
            </w:pPr>
            <w:r>
              <w:rPr>
                <w:rFonts w:hint="eastAsia" w:ascii="宋体" w:hAnsi="宋体" w:cs="宋体"/>
                <w:bCs/>
                <w:sz w:val="24"/>
              </w:rPr>
              <w:t>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100以下</w:t>
            </w:r>
          </w:p>
        </w:tc>
        <w:tc>
          <w:tcPr>
            <w:tcW w:w="2535"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100-500</w:t>
            </w:r>
          </w:p>
        </w:tc>
        <w:tc>
          <w:tcPr>
            <w:tcW w:w="2535"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500-1000</w:t>
            </w:r>
          </w:p>
        </w:tc>
        <w:tc>
          <w:tcPr>
            <w:tcW w:w="2535"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1000-5000</w:t>
            </w:r>
          </w:p>
        </w:tc>
        <w:tc>
          <w:tcPr>
            <w:tcW w:w="2535"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5000-10000</w:t>
            </w:r>
          </w:p>
        </w:tc>
        <w:tc>
          <w:tcPr>
            <w:tcW w:w="2535"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c>
          <w:tcPr>
            <w:tcW w:w="2535"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r>
    </w:tbl>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采购代理服务收费按差额定率累进法计算。例如：某项目采购代理业务</w:t>
      </w:r>
      <w:r>
        <w:rPr>
          <w:rFonts w:hint="eastAsia" w:ascii="宋体" w:hAnsi="宋体" w:eastAsia="宋体" w:cs="宋体"/>
          <w:sz w:val="24"/>
          <w:szCs w:val="24"/>
          <w:lang w:eastAsia="zh-CN"/>
        </w:rPr>
        <w:t>成交</w:t>
      </w:r>
      <w:r>
        <w:rPr>
          <w:rFonts w:hint="eastAsia" w:ascii="宋体" w:hAnsi="宋体" w:eastAsia="宋体" w:cs="宋体"/>
          <w:sz w:val="24"/>
          <w:szCs w:val="24"/>
        </w:rPr>
        <w:t>金额为200万元，计算采购代理服务收费额如下：</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100万元×1.5%=1.5万元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（200-100）万元×</w:t>
      </w:r>
      <w:r>
        <w:rPr>
          <w:rFonts w:hint="eastAsia" w:ascii="宋体" w:hAnsi="宋体" w:cs="宋体"/>
          <w:sz w:val="24"/>
          <w:szCs w:val="24"/>
          <w:lang w:val="en-US" w:eastAsia="zh-CN"/>
        </w:rPr>
        <w:t>0.8</w:t>
      </w:r>
      <w:r>
        <w:rPr>
          <w:rFonts w:hint="eastAsia" w:ascii="宋体" w:hAnsi="宋体" w:eastAsia="宋体" w:cs="宋体"/>
          <w:sz w:val="24"/>
          <w:szCs w:val="24"/>
        </w:rPr>
        <w:t>%=</w:t>
      </w:r>
      <w:r>
        <w:rPr>
          <w:rFonts w:hint="eastAsia" w:ascii="宋体" w:hAnsi="宋体" w:cs="宋体"/>
          <w:sz w:val="24"/>
          <w:szCs w:val="24"/>
          <w:lang w:val="en-US" w:eastAsia="zh-CN"/>
        </w:rPr>
        <w:t>0.8</w:t>
      </w:r>
      <w:r>
        <w:rPr>
          <w:rFonts w:hint="eastAsia" w:ascii="宋体" w:hAnsi="宋体" w:eastAsia="宋体" w:cs="宋体"/>
          <w:sz w:val="24"/>
          <w:szCs w:val="24"/>
        </w:rPr>
        <w:t>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合计收费=1.5+</w:t>
      </w:r>
      <w:r>
        <w:rPr>
          <w:rFonts w:hint="eastAsia" w:ascii="宋体" w:hAnsi="宋体" w:cs="宋体"/>
          <w:sz w:val="24"/>
          <w:szCs w:val="24"/>
          <w:lang w:val="en-US" w:eastAsia="zh-CN"/>
        </w:rPr>
        <w:t>0.8</w:t>
      </w:r>
      <w:r>
        <w:rPr>
          <w:rFonts w:hint="eastAsia" w:ascii="宋体" w:hAnsi="宋体" w:eastAsia="宋体" w:cs="宋体"/>
          <w:sz w:val="24"/>
          <w:szCs w:val="24"/>
        </w:rPr>
        <w:t>=2.</w:t>
      </w:r>
      <w:r>
        <w:rPr>
          <w:rFonts w:hint="eastAsia" w:ascii="宋体" w:hAnsi="宋体" w:cs="宋体"/>
          <w:sz w:val="24"/>
          <w:szCs w:val="24"/>
          <w:lang w:val="en-US" w:eastAsia="zh-CN"/>
        </w:rPr>
        <w:t>3</w:t>
      </w:r>
      <w:r>
        <w:rPr>
          <w:rFonts w:hint="eastAsia" w:ascii="宋体" w:hAnsi="宋体" w:eastAsia="宋体" w:cs="宋体"/>
          <w:sz w:val="24"/>
          <w:szCs w:val="24"/>
        </w:rPr>
        <w:t>（万元）</w:t>
      </w:r>
    </w:p>
    <w:p>
      <w:pPr>
        <w:pStyle w:val="5"/>
        <w:keepNext w:val="0"/>
        <w:keepLines w:val="0"/>
        <w:pageBreakBefore w:val="0"/>
        <w:widowControl w:val="0"/>
        <w:kinsoku/>
        <w:wordWrap/>
        <w:overflowPunct w:val="0"/>
        <w:topLinePunct w:val="0"/>
        <w:bidi w:val="0"/>
        <w:adjustRightInd w:val="0"/>
        <w:snapToGrid w:val="0"/>
        <w:spacing w:line="312" w:lineRule="auto"/>
        <w:ind w:firstLine="502"/>
        <w:textAlignment w:val="auto"/>
        <w:rPr>
          <w:rFonts w:hint="eastAsia" w:ascii="宋体" w:hAnsi="宋体" w:eastAsia="宋体" w:cs="宋体"/>
          <w:sz w:val="24"/>
          <w:szCs w:val="24"/>
        </w:rPr>
      </w:pPr>
      <w:r>
        <w:rPr>
          <w:rFonts w:hint="eastAsia" w:ascii="宋体" w:hAnsi="宋体" w:eastAsia="宋体" w:cs="宋体"/>
          <w:sz w:val="24"/>
          <w:szCs w:val="24"/>
        </w:rPr>
        <w:t>代理服务收费按上述计算方法不足人民币3000元的，按人民币3000元收取。</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szCs w:val="24"/>
        </w:rPr>
      </w:pPr>
      <w:r>
        <w:rPr>
          <w:rFonts w:hint="eastAsia" w:ascii="宋体" w:hAnsi="宋体" w:cs="宋体"/>
          <w:b/>
          <w:sz w:val="24"/>
          <w:szCs w:val="24"/>
          <w:lang w:val="en-US" w:eastAsia="zh-CN"/>
        </w:rPr>
        <w:t>10</w:t>
      </w:r>
      <w:r>
        <w:rPr>
          <w:rFonts w:hint="eastAsia" w:ascii="宋体" w:hAnsi="宋体" w:eastAsia="宋体" w:cs="宋体"/>
          <w:b/>
          <w:sz w:val="24"/>
          <w:szCs w:val="24"/>
        </w:rPr>
        <w:t>.合同的签订</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hAnsi="宋体" w:cs="宋体"/>
          <w:sz w:val="24"/>
          <w:szCs w:val="24"/>
          <w:lang w:val="en-US" w:eastAsia="zh-CN"/>
        </w:rPr>
        <w:t>10.1采购人与成交供应商应当在成交通知书发出之日起30日内，按照采购文件确定的合同文本以及采购标的、规格型号、采购金额、采购数量、技术和服务要求等事项签订采购合同，</w:t>
      </w:r>
      <w:r>
        <w:rPr>
          <w:rFonts w:hint="eastAsia" w:ascii="宋体" w:hAnsi="宋体" w:eastAsia="宋体" w:cs="宋体"/>
          <w:sz w:val="24"/>
          <w:szCs w:val="24"/>
        </w:rPr>
        <w:t>并由</w:t>
      </w:r>
      <w:r>
        <w:rPr>
          <w:rFonts w:hint="eastAsia" w:ascii="宋体" w:hAnsi="宋体" w:eastAsia="宋体" w:cs="宋体"/>
          <w:sz w:val="24"/>
          <w:szCs w:val="24"/>
          <w:lang w:eastAsia="zh-CN"/>
        </w:rPr>
        <w:t>成交单位</w:t>
      </w:r>
      <w:r>
        <w:rPr>
          <w:rFonts w:hint="eastAsia" w:ascii="宋体" w:hAnsi="宋体" w:eastAsia="宋体" w:cs="宋体"/>
          <w:sz w:val="24"/>
          <w:szCs w:val="24"/>
        </w:rPr>
        <w:t>交至常州</w:t>
      </w:r>
      <w:r>
        <w:rPr>
          <w:rFonts w:hint="eastAsia" w:hAnsi="宋体" w:cs="宋体"/>
          <w:sz w:val="24"/>
          <w:szCs w:val="24"/>
          <w:lang w:eastAsia="zh-CN"/>
        </w:rPr>
        <w:t>新禾</w:t>
      </w:r>
      <w:r>
        <w:rPr>
          <w:rFonts w:hint="eastAsia" w:ascii="宋体" w:hAnsi="宋体" w:eastAsia="宋体" w:cs="宋体"/>
          <w:sz w:val="24"/>
          <w:szCs w:val="24"/>
        </w:rPr>
        <w:t>招投标有限公司备案，否则按放弃处理。</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eastAsia" w:hAnsi="宋体" w:cs="宋体"/>
          <w:sz w:val="24"/>
          <w:szCs w:val="24"/>
          <w:lang w:val="en-US" w:eastAsia="zh-CN"/>
        </w:rPr>
      </w:pPr>
      <w:r>
        <w:rPr>
          <w:rFonts w:hint="eastAsia" w:hAnsi="宋体" w:cs="宋体"/>
          <w:sz w:val="24"/>
          <w:szCs w:val="24"/>
          <w:lang w:val="en-US" w:eastAsia="zh-CN"/>
        </w:rPr>
        <w:t>10.2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int="eastAsia" w:ascii="宋体" w:hAnsi="宋体" w:eastAsia="宋体" w:cs="宋体"/>
          <w:sz w:val="24"/>
          <w:szCs w:val="24"/>
        </w:rPr>
      </w:pPr>
      <w:r>
        <w:rPr>
          <w:rFonts w:hint="eastAsia" w:hAnsi="宋体" w:cs="宋体"/>
          <w:sz w:val="24"/>
          <w:szCs w:val="24"/>
          <w:lang w:val="en-US" w:eastAsia="zh-CN"/>
        </w:rPr>
        <w:t>10.3</w:t>
      </w:r>
      <w:r>
        <w:rPr>
          <w:rFonts w:hint="eastAsia" w:ascii="宋体" w:hAnsi="宋体" w:eastAsia="宋体" w:cs="宋体"/>
          <w:sz w:val="24"/>
          <w:szCs w:val="24"/>
        </w:rPr>
        <w:t>签订合同及合同条款应以</w:t>
      </w:r>
      <w:r>
        <w:rPr>
          <w:rFonts w:hint="eastAsia" w:hAnsi="宋体" w:cs="宋体"/>
          <w:sz w:val="24"/>
          <w:szCs w:val="24"/>
          <w:lang w:eastAsia="zh-CN"/>
        </w:rPr>
        <w:t>采购文件</w:t>
      </w:r>
      <w:r>
        <w:rPr>
          <w:rFonts w:hint="eastAsia" w:ascii="宋体" w:hAnsi="宋体" w:eastAsia="宋体" w:cs="宋体"/>
          <w:sz w:val="24"/>
          <w:szCs w:val="24"/>
        </w:rPr>
        <w:t>和</w:t>
      </w:r>
      <w:r>
        <w:rPr>
          <w:rFonts w:hint="eastAsia" w:ascii="宋体" w:hAnsi="宋体" w:eastAsia="宋体" w:cs="宋体"/>
          <w:sz w:val="24"/>
          <w:szCs w:val="24"/>
          <w:lang w:eastAsia="zh-CN"/>
        </w:rPr>
        <w:t>成交单位</w:t>
      </w:r>
      <w:r>
        <w:rPr>
          <w:rFonts w:hint="eastAsia" w:ascii="宋体" w:hAnsi="宋体" w:eastAsia="宋体" w:cs="宋体"/>
          <w:sz w:val="24"/>
          <w:szCs w:val="24"/>
        </w:rPr>
        <w:t>的</w:t>
      </w:r>
      <w:r>
        <w:rPr>
          <w:rFonts w:hint="eastAsia" w:ascii="宋体" w:hAnsi="宋体" w:eastAsia="宋体" w:cs="宋体"/>
          <w:sz w:val="24"/>
          <w:szCs w:val="24"/>
          <w:lang w:eastAsia="zh-CN"/>
        </w:rPr>
        <w:t>响应文件</w:t>
      </w:r>
      <w:r>
        <w:rPr>
          <w:rFonts w:hint="eastAsia" w:ascii="宋体" w:hAnsi="宋体" w:eastAsia="宋体" w:cs="宋体"/>
          <w:sz w:val="24"/>
          <w:szCs w:val="24"/>
        </w:rPr>
        <w:t>及其澄清文件为依据。</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10.4</w:t>
      </w:r>
      <w:r>
        <w:rPr>
          <w:rFonts w:hint="eastAsia" w:ascii="宋体" w:hAnsi="宋体" w:eastAsia="宋体" w:cs="宋体"/>
          <w:sz w:val="24"/>
          <w:szCs w:val="24"/>
          <w:lang w:eastAsia="zh-CN"/>
        </w:rPr>
        <w:t>成交单位</w:t>
      </w:r>
      <w:r>
        <w:rPr>
          <w:rFonts w:hint="eastAsia" w:ascii="宋体" w:hAnsi="宋体" w:eastAsia="宋体" w:cs="宋体"/>
          <w:sz w:val="24"/>
          <w:szCs w:val="24"/>
        </w:rPr>
        <w:t>无正当理由未按期签订采购合同的，视为自动放弃中标资格，并承担违约责任。</w:t>
      </w:r>
    </w:p>
    <w:p>
      <w:pPr>
        <w:rPr>
          <w:rFonts w:hint="eastAsia" w:ascii="宋体" w:hAnsi="宋体" w:eastAsia="宋体" w:cs="宋体"/>
          <w:b/>
          <w:color w:val="auto"/>
          <w:sz w:val="24"/>
          <w:szCs w:val="24"/>
          <w:highlight w:val="none"/>
        </w:rPr>
      </w:pP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val="en-US" w:eastAsia="zh-CN"/>
        </w:rPr>
        <w:t>三</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采购内容及要求</w:t>
      </w:r>
    </w:p>
    <w:p>
      <w:pPr>
        <w:pStyle w:val="4"/>
        <w:keepNext/>
        <w:keepLines/>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eastAsia="宋体"/>
          <w:b w:val="0"/>
          <w:bCs/>
          <w:u w:val="none"/>
          <w:lang w:val="en-US" w:eastAsia="zh-CN"/>
        </w:rPr>
      </w:pPr>
      <w:r>
        <w:rPr>
          <w:rFonts w:hint="eastAsia"/>
          <w:b w:val="0"/>
          <w:bCs/>
          <w:u w:val="none"/>
          <w:lang w:val="en-US" w:eastAsia="zh-CN"/>
        </w:rPr>
        <w:t>受常州市新北区奔牛人民医院的委托，常州新禾招投标有限公司作为招标代理机构，就其单位所需的剪切波组织定量超声诊断仪授权模块采购项目进行单一来源采购。</w:t>
      </w:r>
    </w:p>
    <w:p>
      <w:pPr>
        <w:pStyle w:val="56"/>
        <w:keepNext w:val="0"/>
        <w:keepLines w:val="0"/>
        <w:pageBreakBefore w:val="0"/>
        <w:numPr>
          <w:ilvl w:val="0"/>
          <w:numId w:val="5"/>
        </w:numPr>
        <w:kinsoku/>
        <w:wordWrap/>
        <w:overflowPunct/>
        <w:topLinePunct w:val="0"/>
        <w:autoSpaceDE/>
        <w:autoSpaceDN/>
        <w:bidi w:val="0"/>
        <w:adjustRightInd w:val="0"/>
        <w:snapToGrid w:val="0"/>
        <w:spacing w:line="360" w:lineRule="auto"/>
        <w:ind w:firstLine="0" w:firstLineChars="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项目</w:t>
      </w:r>
      <w:r>
        <w:rPr>
          <w:rFonts w:hint="eastAsia" w:ascii="宋体" w:hAnsi="宋体" w:cs="宋体"/>
          <w:b/>
          <w:bCs/>
          <w:color w:val="auto"/>
          <w:sz w:val="24"/>
          <w:highlight w:val="none"/>
          <w:lang w:val="en-US" w:eastAsia="zh-CN"/>
        </w:rPr>
        <w:t>内容</w:t>
      </w:r>
    </w:p>
    <w:p>
      <w:pPr>
        <w:pStyle w:val="56"/>
        <w:keepNext w:val="0"/>
        <w:keepLines w:val="0"/>
        <w:pageBreakBefore w:val="0"/>
        <w:numPr>
          <w:ilvl w:val="0"/>
          <w:numId w:val="6"/>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项目名称:</w:t>
      </w:r>
      <w:r>
        <w:rPr>
          <w:rFonts w:hint="eastAsia" w:ascii="宋体" w:hAnsi="宋体" w:cs="宋体"/>
          <w:b w:val="0"/>
          <w:bCs w:val="0"/>
          <w:color w:val="auto"/>
          <w:sz w:val="24"/>
          <w:highlight w:val="none"/>
        </w:rPr>
        <w:t>奔牛医院剪切波组织定量超声诊断仪授权模块采购项目</w:t>
      </w:r>
    </w:p>
    <w:p>
      <w:pPr>
        <w:keepNext w:val="0"/>
        <w:keepLines w:val="0"/>
        <w:pageBreakBefore w:val="0"/>
        <w:numPr>
          <w:ilvl w:val="0"/>
          <w:numId w:val="6"/>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rPr>
        <w:t>项目预算</w:t>
      </w:r>
      <w:r>
        <w:rPr>
          <w:rFonts w:hint="eastAsia" w:ascii="宋体" w:hAnsi="宋体" w:cs="宋体"/>
          <w:b w:val="0"/>
          <w:bCs w:val="0"/>
          <w:color w:val="auto"/>
          <w:sz w:val="24"/>
          <w:highlight w:val="none"/>
          <w:lang w:val="en-US" w:eastAsia="zh-CN"/>
        </w:rPr>
        <w:t>:人民币24万</w:t>
      </w:r>
    </w:p>
    <w:p>
      <w:pPr>
        <w:keepNext w:val="0"/>
        <w:keepLines w:val="0"/>
        <w:pageBreakBefore w:val="0"/>
        <w:numPr>
          <w:ilvl w:val="0"/>
          <w:numId w:val="6"/>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b w:val="0"/>
          <w:bCs w:val="0"/>
          <w:color w:val="auto"/>
          <w:lang w:eastAsia="zh-CN"/>
        </w:rPr>
      </w:pPr>
      <w:r>
        <w:rPr>
          <w:rFonts w:hint="eastAsia" w:ascii="宋体" w:hAnsi="宋体" w:cs="宋体"/>
          <w:b w:val="0"/>
          <w:bCs w:val="0"/>
          <w:color w:val="auto"/>
          <w:sz w:val="24"/>
          <w:highlight w:val="none"/>
        </w:rPr>
        <w:t>最高限价</w:t>
      </w:r>
      <w:r>
        <w:rPr>
          <w:rFonts w:hint="eastAsia" w:ascii="宋体" w:hAnsi="宋体" w:cs="宋体"/>
          <w:b w:val="0"/>
          <w:bCs w:val="0"/>
          <w:color w:val="auto"/>
          <w:sz w:val="24"/>
          <w:highlight w:val="none"/>
          <w:lang w:val="en-US" w:eastAsia="zh-CN"/>
        </w:rPr>
        <w:t>:人民币24万</w:t>
      </w:r>
    </w:p>
    <w:p>
      <w:pPr>
        <w:keepNext w:val="0"/>
        <w:keepLines w:val="0"/>
        <w:pageBreakBefore w:val="0"/>
        <w:numPr>
          <w:ilvl w:val="0"/>
          <w:numId w:val="6"/>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b w:val="0"/>
          <w:bCs w:val="0"/>
          <w:color w:val="auto"/>
          <w:lang w:eastAsia="zh-CN"/>
        </w:rPr>
      </w:pPr>
      <w:r>
        <w:rPr>
          <w:rFonts w:hint="eastAsia" w:ascii="宋体" w:hAnsi="宋体" w:cs="宋体"/>
          <w:b w:val="0"/>
          <w:bCs w:val="0"/>
          <w:color w:val="auto"/>
          <w:sz w:val="24"/>
          <w:highlight w:val="none"/>
          <w:lang w:val="en-US" w:eastAsia="zh-CN"/>
        </w:rPr>
        <w:t>预算单价:人民币8万/个</w:t>
      </w:r>
    </w:p>
    <w:p>
      <w:pPr>
        <w:pStyle w:val="5"/>
        <w:keepNext w:val="0"/>
        <w:keepLines w:val="0"/>
        <w:pageBreakBefore w:val="0"/>
        <w:widowControl w:val="0"/>
        <w:numPr>
          <w:ilvl w:val="0"/>
          <w:numId w:val="6"/>
        </w:numPr>
        <w:kinsoku/>
        <w:wordWrap/>
        <w:overflowPunct/>
        <w:topLinePunct w:val="0"/>
        <w:bidi w:val="0"/>
        <w:snapToGrid w:val="0"/>
        <w:spacing w:line="360" w:lineRule="auto"/>
        <w:ind w:left="845" w:leftChars="0" w:hanging="425" w:firstLineChars="0"/>
        <w:textAlignment w:val="auto"/>
        <w:rPr>
          <w:rFonts w:hint="eastAsia" w:ascii="宋体" w:hAnsi="宋体" w:cs="宋体"/>
          <w:b w:val="0"/>
          <w:bCs w:val="0"/>
          <w:color w:val="auto"/>
          <w:sz w:val="24"/>
          <w:highlight w:val="none"/>
          <w:lang w:val="en-US" w:eastAsia="zh-CN"/>
        </w:rPr>
      </w:pPr>
      <w:r>
        <w:rPr>
          <w:rFonts w:hint="eastAsia" w:hAnsi="宋体" w:cs="宋体"/>
          <w:b w:val="0"/>
          <w:bCs w:val="0"/>
          <w:color w:val="auto"/>
          <w:sz w:val="24"/>
          <w:highlight w:val="none"/>
          <w:lang w:val="en-US" w:eastAsia="zh-CN"/>
        </w:rPr>
        <w:t>预算数量</w:t>
      </w:r>
      <w:r>
        <w:rPr>
          <w:rFonts w:hint="eastAsia" w:ascii="宋体" w:hAnsi="宋体" w:cs="宋体"/>
          <w:b w:val="0"/>
          <w:bCs w:val="0"/>
          <w:color w:val="auto"/>
          <w:sz w:val="24"/>
          <w:highlight w:val="none"/>
          <w:lang w:val="en-US" w:eastAsia="zh-CN"/>
        </w:rPr>
        <w:t>:剪切波组织定量超声诊断仪</w:t>
      </w:r>
      <w:r>
        <w:rPr>
          <w:rFonts w:hint="eastAsia" w:hAnsi="宋体" w:cs="宋体"/>
          <w:b w:val="0"/>
          <w:bCs w:val="0"/>
          <w:color w:val="auto"/>
          <w:sz w:val="24"/>
          <w:highlight w:val="none"/>
          <w:lang w:val="en-US" w:eastAsia="zh-CN"/>
        </w:rPr>
        <w:t>3套</w:t>
      </w:r>
    </w:p>
    <w:p>
      <w:pPr>
        <w:pStyle w:val="56"/>
        <w:keepNext w:val="0"/>
        <w:keepLines w:val="0"/>
        <w:pageBreakBefore w:val="0"/>
        <w:numPr>
          <w:ilvl w:val="0"/>
          <w:numId w:val="7"/>
        </w:numPr>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cs="宋体"/>
          <w:b/>
          <w:color w:val="auto"/>
          <w:sz w:val="24"/>
          <w:highlight w:val="none"/>
          <w:lang w:val="en-US" w:eastAsia="zh-CN"/>
        </w:rPr>
      </w:pPr>
      <w:r>
        <w:rPr>
          <w:rFonts w:hint="eastAsia" w:ascii="宋体" w:hAnsi="宋体" w:cs="宋体"/>
          <w:b/>
          <w:bCs/>
          <w:color w:val="auto"/>
          <w:sz w:val="24"/>
          <w:highlight w:val="none"/>
          <w:lang w:val="en-US" w:eastAsia="zh-CN"/>
        </w:rPr>
        <w:t>服务要求</w:t>
      </w:r>
      <w:r>
        <w:rPr>
          <w:rFonts w:hint="eastAsia" w:ascii="宋体" w:hAnsi="宋体" w:cs="宋体"/>
          <w:b/>
          <w:color w:val="auto"/>
          <w:sz w:val="24"/>
          <w:highlight w:val="none"/>
          <w:lang w:val="en-US" w:eastAsia="zh-CN"/>
        </w:rPr>
        <w:t xml:space="preserve"> </w:t>
      </w:r>
    </w:p>
    <w:p>
      <w:pPr>
        <w:pageBreakBefore w:val="0"/>
        <w:widowControl w:val="0"/>
        <w:numPr>
          <w:ilvl w:val="0"/>
          <w:numId w:val="8"/>
        </w:numPr>
        <w:kinsoku/>
        <w:wordWrap/>
        <w:overflowPunct/>
        <w:topLinePunct w:val="0"/>
        <w:bidi w:val="0"/>
        <w:snapToGrid/>
        <w:spacing w:line="360" w:lineRule="auto"/>
        <w:ind w:left="845" w:leftChars="0" w:hanging="425" w:firstLineChars="0"/>
        <w:textAlignment w:val="auto"/>
        <w:rPr>
          <w:rFonts w:hint="eastAsia"/>
          <w:b w:val="0"/>
          <w:bCs/>
          <w:color w:val="auto"/>
          <w:u w:val="none"/>
        </w:rPr>
      </w:pPr>
      <w:r>
        <w:rPr>
          <w:rFonts w:ascii="宋体" w:hAnsi="宋体" w:eastAsia="宋体" w:cs="宋体"/>
          <w:sz w:val="24"/>
          <w:szCs w:val="24"/>
        </w:rPr>
        <w:t>产品安装调试</w:t>
      </w:r>
      <w:r>
        <w:rPr>
          <w:rFonts w:hint="eastAsia" w:ascii="宋体" w:hAnsi="宋体" w:eastAsia="宋体" w:cs="宋体"/>
          <w:sz w:val="24"/>
          <w:szCs w:val="24"/>
          <w:lang w:eastAsia="zh-CN"/>
        </w:rPr>
        <w:t>：</w:t>
      </w:r>
    </w:p>
    <w:p>
      <w:pPr>
        <w:pageBreakBefore w:val="0"/>
        <w:widowControl w:val="0"/>
        <w:numPr>
          <w:ilvl w:val="0"/>
          <w:numId w:val="9"/>
        </w:numPr>
        <w:kinsoku/>
        <w:wordWrap/>
        <w:overflowPunct/>
        <w:topLinePunct w:val="0"/>
        <w:bidi w:val="0"/>
        <w:snapToGrid/>
        <w:spacing w:line="360" w:lineRule="auto"/>
        <w:ind w:left="845" w:leftChars="0" w:hanging="425" w:firstLineChars="0"/>
        <w:textAlignment w:val="auto"/>
        <w:rPr>
          <w:rFonts w:ascii="宋体" w:hAnsi="宋体" w:eastAsia="宋体" w:cs="宋体"/>
          <w:sz w:val="24"/>
          <w:szCs w:val="24"/>
        </w:rPr>
      </w:pPr>
      <w:r>
        <w:rPr>
          <w:rFonts w:ascii="宋体" w:hAnsi="宋体" w:eastAsia="宋体" w:cs="宋体"/>
          <w:sz w:val="24"/>
          <w:szCs w:val="24"/>
        </w:rPr>
        <w:t xml:space="preserve">供应商负责合同供货设备的现场安装调试等； </w:t>
      </w:r>
    </w:p>
    <w:p>
      <w:pPr>
        <w:pageBreakBefore w:val="0"/>
        <w:widowControl w:val="0"/>
        <w:numPr>
          <w:ilvl w:val="0"/>
          <w:numId w:val="9"/>
        </w:numPr>
        <w:kinsoku/>
        <w:wordWrap/>
        <w:overflowPunct/>
        <w:topLinePunct w:val="0"/>
        <w:bidi w:val="0"/>
        <w:snapToGrid/>
        <w:spacing w:line="360" w:lineRule="auto"/>
        <w:ind w:left="845" w:leftChars="0" w:hanging="425" w:firstLineChars="0"/>
        <w:textAlignment w:val="auto"/>
        <w:rPr>
          <w:rFonts w:ascii="宋体" w:hAnsi="宋体" w:eastAsia="宋体" w:cs="宋体"/>
          <w:sz w:val="24"/>
          <w:szCs w:val="24"/>
        </w:rPr>
      </w:pPr>
      <w:r>
        <w:rPr>
          <w:rFonts w:ascii="宋体" w:hAnsi="宋体" w:eastAsia="宋体" w:cs="宋体"/>
          <w:sz w:val="24"/>
          <w:szCs w:val="24"/>
        </w:rPr>
        <w:t>合同签订后</w:t>
      </w:r>
      <w:r>
        <w:rPr>
          <w:rFonts w:hint="eastAsia" w:ascii="宋体" w:hAnsi="宋体" w:eastAsia="宋体" w:cs="宋体"/>
          <w:sz w:val="24"/>
          <w:szCs w:val="24"/>
          <w:lang w:val="en-US" w:eastAsia="zh-CN"/>
        </w:rPr>
        <w:t>5</w:t>
      </w:r>
      <w:r>
        <w:rPr>
          <w:rFonts w:ascii="宋体" w:hAnsi="宋体" w:eastAsia="宋体" w:cs="宋体"/>
          <w:sz w:val="24"/>
          <w:szCs w:val="24"/>
        </w:rPr>
        <w:t>个工作日内，供应商应向采购人提交安装调试计划。安装调试计划参考以下内容：安装调试手册、安装调试进度安排、安装方式、调试方法、调试工具的准备、安装调试环境的准备、其他需要的准备工作；</w:t>
      </w:r>
    </w:p>
    <w:p>
      <w:pPr>
        <w:pageBreakBefore w:val="0"/>
        <w:widowControl w:val="0"/>
        <w:numPr>
          <w:ilvl w:val="0"/>
          <w:numId w:val="9"/>
        </w:numPr>
        <w:kinsoku/>
        <w:wordWrap/>
        <w:overflowPunct/>
        <w:topLinePunct w:val="0"/>
        <w:bidi w:val="0"/>
        <w:snapToGrid/>
        <w:spacing w:line="360" w:lineRule="auto"/>
        <w:ind w:left="845" w:leftChars="0" w:hanging="425" w:firstLineChars="0"/>
        <w:textAlignment w:val="auto"/>
        <w:rPr>
          <w:rFonts w:ascii="宋体" w:hAnsi="宋体" w:eastAsia="宋体" w:cs="宋体"/>
          <w:sz w:val="24"/>
          <w:szCs w:val="24"/>
        </w:rPr>
      </w:pPr>
      <w:r>
        <w:rPr>
          <w:rFonts w:ascii="宋体" w:hAnsi="宋体" w:eastAsia="宋体" w:cs="宋体"/>
          <w:sz w:val="24"/>
          <w:szCs w:val="24"/>
        </w:rPr>
        <w:t>安装调试开始之前，由供应商和采购人共同清点，如有短缺或损坏，由供应商负责补充、更换；</w:t>
      </w:r>
    </w:p>
    <w:p>
      <w:pPr>
        <w:pageBreakBefore w:val="0"/>
        <w:widowControl w:val="0"/>
        <w:numPr>
          <w:ilvl w:val="0"/>
          <w:numId w:val="9"/>
        </w:numPr>
        <w:kinsoku/>
        <w:wordWrap/>
        <w:overflowPunct/>
        <w:topLinePunct w:val="0"/>
        <w:bidi w:val="0"/>
        <w:snapToGrid/>
        <w:spacing w:line="360" w:lineRule="auto"/>
        <w:ind w:left="845" w:leftChars="0" w:hanging="425" w:firstLineChars="0"/>
        <w:textAlignment w:val="auto"/>
        <w:rPr>
          <w:rFonts w:ascii="宋体" w:hAnsi="宋体" w:eastAsia="宋体" w:cs="宋体"/>
          <w:sz w:val="24"/>
          <w:szCs w:val="24"/>
        </w:rPr>
      </w:pPr>
      <w:r>
        <w:rPr>
          <w:rFonts w:ascii="宋体" w:hAnsi="宋体" w:eastAsia="宋体" w:cs="宋体"/>
          <w:sz w:val="24"/>
          <w:szCs w:val="24"/>
        </w:rPr>
        <w:t>安装调试工作应在采购人代表在场时进行；</w:t>
      </w:r>
    </w:p>
    <w:p>
      <w:pPr>
        <w:pageBreakBefore w:val="0"/>
        <w:widowControl w:val="0"/>
        <w:numPr>
          <w:ilvl w:val="0"/>
          <w:numId w:val="9"/>
        </w:numPr>
        <w:kinsoku/>
        <w:wordWrap/>
        <w:overflowPunct/>
        <w:topLinePunct w:val="0"/>
        <w:bidi w:val="0"/>
        <w:snapToGrid/>
        <w:spacing w:line="360" w:lineRule="auto"/>
        <w:ind w:left="845" w:leftChars="0" w:hanging="425" w:firstLineChars="0"/>
        <w:textAlignment w:val="auto"/>
        <w:rPr>
          <w:rFonts w:hint="eastAsia"/>
          <w:b w:val="0"/>
          <w:bCs/>
          <w:color w:val="auto"/>
          <w:u w:val="none"/>
        </w:rPr>
      </w:pPr>
      <w:r>
        <w:rPr>
          <w:rFonts w:ascii="宋体" w:hAnsi="宋体" w:eastAsia="宋体" w:cs="宋体"/>
          <w:sz w:val="24"/>
          <w:szCs w:val="24"/>
        </w:rPr>
        <w:t>安装调试过程中，由于供应商原因造成的缺损由供应商负责补充、更换；安装调试完成后，供应商应向采购人提供安装调试报告，安装调试报告至少应包括以下内容：供货设备安装调试结果、安装调试中出现的问题及解决办法。</w:t>
      </w:r>
    </w:p>
    <w:p>
      <w:pPr>
        <w:pageBreakBefore w:val="0"/>
        <w:widowControl w:val="0"/>
        <w:numPr>
          <w:ilvl w:val="0"/>
          <w:numId w:val="8"/>
        </w:numPr>
        <w:kinsoku/>
        <w:wordWrap/>
        <w:overflowPunct/>
        <w:topLinePunct w:val="0"/>
        <w:bidi w:val="0"/>
        <w:snapToGrid/>
        <w:spacing w:line="360" w:lineRule="auto"/>
        <w:ind w:left="845" w:leftChars="0" w:hanging="425" w:firstLineChars="0"/>
        <w:textAlignment w:val="auto"/>
        <w:rPr>
          <w:rFonts w:hint="eastAsia" w:ascii="宋体" w:hAnsi="宋体" w:eastAsia="宋体" w:cs="宋体"/>
          <w:color w:val="auto"/>
          <w:sz w:val="24"/>
          <w:szCs w:val="24"/>
          <w:shd w:val="clear" w:color="auto" w:fill="auto"/>
        </w:rPr>
      </w:pPr>
      <w:r>
        <w:rPr>
          <w:rFonts w:ascii="宋体" w:hAnsi="宋体" w:eastAsia="宋体" w:cs="宋体"/>
          <w:sz w:val="24"/>
          <w:szCs w:val="24"/>
        </w:rPr>
        <w:t>产品验收：</w:t>
      </w:r>
    </w:p>
    <w:p>
      <w:pPr>
        <w:pageBreakBefore w:val="0"/>
        <w:widowControl w:val="0"/>
        <w:numPr>
          <w:ilvl w:val="0"/>
          <w:numId w:val="10"/>
        </w:numPr>
        <w:kinsoku/>
        <w:wordWrap/>
        <w:overflowPunct/>
        <w:topLinePunct w:val="0"/>
        <w:bidi w:val="0"/>
        <w:snapToGrid/>
        <w:spacing w:line="360" w:lineRule="auto"/>
        <w:ind w:left="845" w:leftChars="0" w:hanging="425" w:firstLineChars="0"/>
        <w:textAlignment w:val="auto"/>
        <w:rPr>
          <w:rFonts w:ascii="宋体" w:hAnsi="宋体" w:eastAsia="宋体" w:cs="宋体"/>
          <w:sz w:val="24"/>
          <w:szCs w:val="24"/>
        </w:rPr>
      </w:pPr>
      <w:r>
        <w:rPr>
          <w:rFonts w:ascii="宋体" w:hAnsi="宋体" w:eastAsia="宋体" w:cs="宋体"/>
          <w:sz w:val="24"/>
          <w:szCs w:val="24"/>
        </w:rPr>
        <w:t xml:space="preserve">供应商必须提供设备原产地出厂等证明文件，必须保证是合同签订后最新出厂的产品。 采购人与供应商在设备到货后共同进行开箱检查，当出现损坏、数量不全或产品不对等问题时，由供应商负责解决；如上述证明文件或相关手续不全，如果出现不是最新出厂的产品或不符合合同要求的严重质量问题时，采购人保留索赔及退货权利。 </w:t>
      </w:r>
    </w:p>
    <w:p>
      <w:pPr>
        <w:pageBreakBefore w:val="0"/>
        <w:widowControl w:val="0"/>
        <w:numPr>
          <w:ilvl w:val="0"/>
          <w:numId w:val="10"/>
        </w:numPr>
        <w:kinsoku/>
        <w:wordWrap/>
        <w:overflowPunct/>
        <w:topLinePunct w:val="0"/>
        <w:bidi w:val="0"/>
        <w:snapToGrid/>
        <w:spacing w:line="360" w:lineRule="auto"/>
        <w:ind w:left="845" w:leftChars="0" w:hanging="425" w:firstLineChars="0"/>
        <w:textAlignment w:val="auto"/>
        <w:rPr>
          <w:rFonts w:ascii="宋体" w:hAnsi="宋体" w:eastAsia="宋体" w:cs="宋体"/>
          <w:sz w:val="24"/>
          <w:szCs w:val="24"/>
        </w:rPr>
      </w:pPr>
      <w:r>
        <w:rPr>
          <w:rFonts w:ascii="宋体" w:hAnsi="宋体" w:eastAsia="宋体" w:cs="宋体"/>
          <w:sz w:val="24"/>
          <w:szCs w:val="24"/>
        </w:rPr>
        <w:t xml:space="preserve">依合同要求对全部设备的型号、规格、数量、外型、包装及资料、文件（如装箱单、保修单、随箱介质等）的验收。 </w:t>
      </w:r>
    </w:p>
    <w:p>
      <w:pPr>
        <w:pageBreakBefore w:val="0"/>
        <w:widowControl w:val="0"/>
        <w:numPr>
          <w:ilvl w:val="0"/>
          <w:numId w:val="10"/>
        </w:numPr>
        <w:kinsoku/>
        <w:wordWrap/>
        <w:overflowPunct/>
        <w:topLinePunct w:val="0"/>
        <w:bidi w:val="0"/>
        <w:snapToGrid/>
        <w:spacing w:line="360" w:lineRule="auto"/>
        <w:ind w:left="845" w:leftChars="0" w:hanging="425" w:firstLineChars="0"/>
        <w:textAlignment w:val="auto"/>
        <w:rPr>
          <w:rFonts w:ascii="宋体" w:hAnsi="宋体" w:eastAsia="宋体" w:cs="宋体"/>
          <w:sz w:val="24"/>
          <w:szCs w:val="24"/>
        </w:rPr>
      </w:pPr>
      <w:r>
        <w:rPr>
          <w:rFonts w:ascii="宋体" w:hAnsi="宋体" w:eastAsia="宋体" w:cs="宋体"/>
          <w:sz w:val="24"/>
          <w:szCs w:val="24"/>
        </w:rPr>
        <w:t>按合同技术部分要求对其产品的性能和配置进行测试检查，并做出测试方案和测试报告。</w:t>
      </w:r>
    </w:p>
    <w:p>
      <w:pPr>
        <w:pageBreakBefore w:val="0"/>
        <w:widowControl w:val="0"/>
        <w:numPr>
          <w:ilvl w:val="0"/>
          <w:numId w:val="10"/>
        </w:numPr>
        <w:kinsoku/>
        <w:wordWrap/>
        <w:overflowPunct/>
        <w:topLinePunct w:val="0"/>
        <w:bidi w:val="0"/>
        <w:snapToGrid/>
        <w:spacing w:line="360" w:lineRule="auto"/>
        <w:ind w:left="845" w:leftChars="0" w:hanging="425" w:firstLineChars="0"/>
        <w:textAlignment w:val="auto"/>
        <w:rPr>
          <w:rFonts w:ascii="宋体" w:hAnsi="宋体" w:eastAsia="宋体" w:cs="宋体"/>
          <w:sz w:val="24"/>
          <w:szCs w:val="24"/>
        </w:rPr>
      </w:pPr>
      <w:r>
        <w:rPr>
          <w:rFonts w:ascii="宋体" w:hAnsi="宋体" w:eastAsia="宋体" w:cs="宋体"/>
          <w:sz w:val="24"/>
          <w:szCs w:val="24"/>
        </w:rPr>
        <w:t xml:space="preserve">所有硬件设备在磋商文件所规定的地点和环境下，实现正常运行，并达到合同要求的性能。 </w:t>
      </w:r>
    </w:p>
    <w:p>
      <w:pPr>
        <w:pageBreakBefore w:val="0"/>
        <w:widowControl w:val="0"/>
        <w:numPr>
          <w:ilvl w:val="0"/>
          <w:numId w:val="10"/>
        </w:numPr>
        <w:kinsoku/>
        <w:wordWrap/>
        <w:overflowPunct/>
        <w:topLinePunct w:val="0"/>
        <w:bidi w:val="0"/>
        <w:snapToGrid/>
        <w:spacing w:line="360" w:lineRule="auto"/>
        <w:ind w:left="845" w:leftChars="0" w:hanging="425" w:firstLineChars="0"/>
        <w:textAlignment w:val="auto"/>
        <w:rPr>
          <w:rFonts w:ascii="宋体" w:hAnsi="宋体" w:eastAsia="宋体" w:cs="宋体"/>
          <w:sz w:val="24"/>
          <w:szCs w:val="24"/>
        </w:rPr>
      </w:pPr>
      <w:r>
        <w:rPr>
          <w:rFonts w:ascii="宋体" w:hAnsi="宋体" w:eastAsia="宋体" w:cs="宋体"/>
          <w:sz w:val="24"/>
          <w:szCs w:val="24"/>
        </w:rPr>
        <w:t xml:space="preserve">设备测试中出现性能指标或功能上不符合合同要求时，采购人保留索赔及退货权利。 </w:t>
      </w:r>
    </w:p>
    <w:p>
      <w:pPr>
        <w:pageBreakBefore w:val="0"/>
        <w:widowControl w:val="0"/>
        <w:numPr>
          <w:ilvl w:val="0"/>
          <w:numId w:val="10"/>
        </w:numPr>
        <w:kinsoku/>
        <w:wordWrap/>
        <w:overflowPunct/>
        <w:topLinePunct w:val="0"/>
        <w:bidi w:val="0"/>
        <w:snapToGrid/>
        <w:spacing w:line="360" w:lineRule="auto"/>
        <w:ind w:left="845" w:leftChars="0" w:hanging="425" w:firstLineChars="0"/>
        <w:textAlignment w:val="auto"/>
        <w:rPr>
          <w:rFonts w:hint="eastAsia" w:ascii="宋体" w:hAnsi="宋体" w:eastAsia="宋体" w:cs="宋体"/>
          <w:color w:val="auto"/>
          <w:sz w:val="24"/>
          <w:szCs w:val="24"/>
          <w:shd w:val="clear" w:color="auto" w:fill="auto"/>
        </w:rPr>
      </w:pPr>
      <w:r>
        <w:rPr>
          <w:rFonts w:ascii="宋体" w:hAnsi="宋体" w:eastAsia="宋体" w:cs="宋体"/>
          <w:sz w:val="24"/>
          <w:szCs w:val="24"/>
        </w:rPr>
        <w:t>到货验收且验收合格后由采购方相关部门签署货物验收合格报告。验收合格报告签署日 期作为维保责任起始时间。采购方对成交供应商交付的所有货物，均应妥善接收并按货物 条件进行保管。</w:t>
      </w:r>
    </w:p>
    <w:p>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default"/>
          <w:b/>
          <w:bCs/>
          <w:color w:val="auto"/>
          <w:sz w:val="24"/>
          <w:szCs w:val="24"/>
          <w:lang w:val="en-US" w:eastAsia="zh-CN"/>
        </w:rPr>
      </w:pPr>
      <w:r>
        <w:rPr>
          <w:rFonts w:hint="eastAsia"/>
          <w:b/>
          <w:bCs/>
          <w:color w:val="auto"/>
          <w:sz w:val="24"/>
          <w:szCs w:val="24"/>
          <w:u w:val="none"/>
          <w:lang w:val="en-US" w:eastAsia="zh-CN"/>
        </w:rPr>
        <w:t>三、技术要求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jc w:val="left"/>
        <w:textAlignment w:val="auto"/>
        <w:rPr>
          <w:rFonts w:hint="eastAsia" w:ascii="宋体" w:hAnsi="宋体" w:eastAsia="宋体" w:cs="宋体"/>
          <w:b/>
          <w:bCs/>
          <w:sz w:val="24"/>
          <w:szCs w:val="24"/>
          <w:lang w:eastAsia="zh-CN"/>
        </w:rPr>
      </w:pPr>
      <w:r>
        <w:rPr>
          <w:rFonts w:ascii="宋体" w:hAnsi="宋体" w:eastAsia="宋体" w:cs="宋体"/>
          <w:b/>
          <w:bCs/>
          <w:sz w:val="24"/>
          <w:szCs w:val="24"/>
        </w:rPr>
        <w:t>总体要求：供应商所投产品须提供该产品制造商出具的技术证明文件（须由货物制造商或其直属机构盖章）予以佐证,证明文件包括该产品技术白皮书或第三方检验报告或使用说明书，或提供该产品制造商公开发行的宣传彩页；如供应商未按以上要求提供基础技术资料或提供的基础技术资料不全，评审时可作为不响应处理。标注了</w:t>
      </w:r>
      <w:r>
        <w:rPr>
          <w:rFonts w:hint="eastAsia"/>
          <w:sz w:val="24"/>
          <w:szCs w:val="24"/>
        </w:rPr>
        <w:t>＊</w:t>
      </w:r>
      <w:r>
        <w:rPr>
          <w:rFonts w:ascii="宋体" w:hAnsi="宋体" w:eastAsia="宋体" w:cs="宋体"/>
          <w:b/>
          <w:bCs/>
          <w:sz w:val="24"/>
          <w:szCs w:val="24"/>
        </w:rPr>
        <w:t>号指标应载明证明文件在响应文件中的具体页码，未提供证明文件的视为不响应</w:t>
      </w:r>
      <w:r>
        <w:rPr>
          <w:rFonts w:hint="eastAsia" w:ascii="宋体" w:hAnsi="宋体" w:eastAsia="宋体" w:cs="宋体"/>
          <w:b/>
          <w:bCs/>
          <w:sz w:val="24"/>
          <w:szCs w:val="24"/>
          <w:lang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2" w:firstLineChars="20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货物技术规格及要求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jc w:val="center"/>
        <w:textAlignment w:val="auto"/>
        <w:rPr>
          <w:rFonts w:hint="default"/>
          <w:lang w:val="en-US" w:eastAsia="zh-CN"/>
        </w:rPr>
      </w:pPr>
      <w:r>
        <w:rPr>
          <w:rFonts w:ascii="宋体" w:hAnsi="宋体" w:eastAsia="宋体" w:cs="宋体"/>
          <w:b/>
          <w:bCs/>
          <w:sz w:val="24"/>
          <w:szCs w:val="24"/>
        </w:rPr>
        <w:t>（说明：以下是单台/套设备的技术要求）</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3"/>
        <w:gridCol w:w="2496"/>
        <w:gridCol w:w="4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b/>
                <w:bCs/>
                <w:sz w:val="24"/>
                <w:szCs w:val="24"/>
                <w:vertAlign w:val="baseline"/>
              </w:rPr>
            </w:pPr>
            <w:r>
              <w:rPr>
                <w:rFonts w:hint="eastAsia"/>
                <w:b/>
                <w:bCs/>
                <w:sz w:val="24"/>
                <w:szCs w:val="24"/>
              </w:rPr>
              <w:t>序号</w:t>
            </w:r>
          </w:p>
        </w:tc>
        <w:tc>
          <w:tcPr>
            <w:tcW w:w="2496" w:type="dxa"/>
            <w:vAlign w:val="center"/>
          </w:tcPr>
          <w:p>
            <w:pPr>
              <w:jc w:val="both"/>
              <w:rPr>
                <w:b/>
                <w:bCs/>
                <w:sz w:val="24"/>
                <w:szCs w:val="24"/>
                <w:vertAlign w:val="baseline"/>
              </w:rPr>
            </w:pPr>
            <w:r>
              <w:rPr>
                <w:rFonts w:hint="eastAsia"/>
                <w:b/>
                <w:bCs/>
                <w:sz w:val="24"/>
                <w:szCs w:val="24"/>
              </w:rPr>
              <w:t>技术性能名称</w:t>
            </w:r>
          </w:p>
        </w:tc>
        <w:tc>
          <w:tcPr>
            <w:tcW w:w="4483" w:type="dxa"/>
            <w:vAlign w:val="center"/>
          </w:tcPr>
          <w:p>
            <w:pPr>
              <w:jc w:val="both"/>
              <w:rPr>
                <w:b/>
                <w:bCs/>
                <w:sz w:val="24"/>
                <w:szCs w:val="24"/>
                <w:vertAlign w:val="baseline"/>
              </w:rPr>
            </w:pPr>
            <w:r>
              <w:rPr>
                <w:rFonts w:hint="eastAsia"/>
                <w:b/>
                <w:bCs/>
                <w:sz w:val="24"/>
                <w:szCs w:val="24"/>
              </w:rPr>
              <w:t>参数性能要求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sz w:val="24"/>
                <w:szCs w:val="24"/>
                <w:vertAlign w:val="baseline"/>
              </w:rPr>
            </w:pPr>
            <w:r>
              <w:rPr>
                <w:rFonts w:hint="eastAsia"/>
                <w:sz w:val="24"/>
                <w:szCs w:val="24"/>
              </w:rPr>
              <w:t>一</w:t>
            </w:r>
            <w:r>
              <w:rPr>
                <w:rFonts w:hint="eastAsia"/>
                <w:sz w:val="24"/>
                <w:szCs w:val="24"/>
              </w:rPr>
              <w:tab/>
            </w:r>
          </w:p>
        </w:tc>
        <w:tc>
          <w:tcPr>
            <w:tcW w:w="2496" w:type="dxa"/>
            <w:vAlign w:val="center"/>
          </w:tcPr>
          <w:p>
            <w:pPr>
              <w:jc w:val="both"/>
              <w:rPr>
                <w:sz w:val="24"/>
                <w:szCs w:val="24"/>
                <w:vertAlign w:val="baseline"/>
              </w:rPr>
            </w:pPr>
            <w:r>
              <w:rPr>
                <w:rFonts w:hint="eastAsia"/>
                <w:sz w:val="24"/>
                <w:szCs w:val="24"/>
              </w:rPr>
              <w:t>品名</w:t>
            </w:r>
          </w:p>
        </w:tc>
        <w:tc>
          <w:tcPr>
            <w:tcW w:w="4483" w:type="dxa"/>
            <w:vAlign w:val="center"/>
          </w:tcPr>
          <w:p>
            <w:pPr>
              <w:jc w:val="both"/>
              <w:rPr>
                <w:sz w:val="24"/>
                <w:szCs w:val="24"/>
                <w:vertAlign w:val="baseline"/>
              </w:rPr>
            </w:pPr>
            <w:r>
              <w:rPr>
                <w:rFonts w:hint="eastAsia"/>
                <w:sz w:val="24"/>
                <w:szCs w:val="24"/>
              </w:rPr>
              <w:t>剪切波组织定量超声诊断仪授权模块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543" w:type="dxa"/>
            <w:vAlign w:val="center"/>
          </w:tcPr>
          <w:p>
            <w:pPr>
              <w:jc w:val="both"/>
              <w:rPr>
                <w:sz w:val="24"/>
                <w:szCs w:val="24"/>
                <w:vertAlign w:val="baseline"/>
              </w:rPr>
            </w:pPr>
            <w:r>
              <w:rPr>
                <w:rFonts w:hint="eastAsia"/>
                <w:sz w:val="24"/>
                <w:szCs w:val="24"/>
              </w:rPr>
              <w:t>二</w:t>
            </w:r>
          </w:p>
        </w:tc>
        <w:tc>
          <w:tcPr>
            <w:tcW w:w="2496" w:type="dxa"/>
            <w:vAlign w:val="center"/>
          </w:tcPr>
          <w:p>
            <w:pPr>
              <w:jc w:val="both"/>
              <w:rPr>
                <w:sz w:val="24"/>
                <w:szCs w:val="24"/>
                <w:vertAlign w:val="baseline"/>
              </w:rPr>
            </w:pPr>
            <w:r>
              <w:rPr>
                <w:rFonts w:hint="eastAsia"/>
                <w:sz w:val="24"/>
                <w:szCs w:val="24"/>
              </w:rPr>
              <w:t>用途</w:t>
            </w:r>
          </w:p>
        </w:tc>
        <w:tc>
          <w:tcPr>
            <w:tcW w:w="4483" w:type="dxa"/>
            <w:vAlign w:val="center"/>
          </w:tcPr>
          <w:p>
            <w:pPr>
              <w:jc w:val="both"/>
              <w:rPr>
                <w:sz w:val="24"/>
                <w:szCs w:val="24"/>
                <w:vertAlign w:val="baseline"/>
              </w:rPr>
            </w:pPr>
            <w:r>
              <w:rPr>
                <w:rFonts w:hint="eastAsia"/>
                <w:sz w:val="24"/>
                <w:szCs w:val="24"/>
                <w:lang w:val="en-US" w:eastAsia="zh-CN"/>
              </w:rPr>
              <w:t>该产品国内独家专有技术暂无其他同类产品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jc w:val="center"/>
        </w:trPr>
        <w:tc>
          <w:tcPr>
            <w:tcW w:w="1543" w:type="dxa"/>
            <w:vAlign w:val="center"/>
          </w:tcPr>
          <w:p>
            <w:pPr>
              <w:jc w:val="both"/>
              <w:rPr>
                <w:sz w:val="24"/>
                <w:szCs w:val="24"/>
                <w:vertAlign w:val="baseline"/>
              </w:rPr>
            </w:pPr>
            <w:r>
              <w:rPr>
                <w:rFonts w:hint="eastAsia"/>
                <w:sz w:val="24"/>
                <w:szCs w:val="24"/>
              </w:rPr>
              <w:t xml:space="preserve">▲1 </w:t>
            </w:r>
          </w:p>
        </w:tc>
        <w:tc>
          <w:tcPr>
            <w:tcW w:w="2496" w:type="dxa"/>
            <w:vAlign w:val="center"/>
          </w:tcPr>
          <w:p>
            <w:pPr>
              <w:jc w:val="both"/>
              <w:rPr>
                <w:sz w:val="24"/>
                <w:szCs w:val="24"/>
                <w:vertAlign w:val="baseline"/>
              </w:rPr>
            </w:pPr>
            <w:r>
              <w:rPr>
                <w:rFonts w:hint="eastAsia"/>
                <w:sz w:val="24"/>
                <w:szCs w:val="24"/>
              </w:rPr>
              <w:t>检测和评估肝纤维化程度</w:t>
            </w:r>
          </w:p>
        </w:tc>
        <w:tc>
          <w:tcPr>
            <w:tcW w:w="4483" w:type="dxa"/>
            <w:vAlign w:val="center"/>
          </w:tcPr>
          <w:p>
            <w:pPr>
              <w:jc w:val="both"/>
              <w:rPr>
                <w:sz w:val="24"/>
                <w:szCs w:val="24"/>
                <w:vertAlign w:val="baseline"/>
              </w:rPr>
            </w:pPr>
            <w:r>
              <w:rPr>
                <w:rFonts w:hint="eastAsia" w:ascii="宋体" w:hAnsi="宋体" w:eastAsia="宋体" w:cs="宋体"/>
                <w:sz w:val="24"/>
                <w:szCs w:val="24"/>
              </w:rPr>
              <w:t>适合定量监测和评估各类慢性肝病导致的肝纤维化程度。利用瞬时弹性成像技术与剪切波安全无创的特点，每次检测显示量化的肝脏硬度值，以定量评估肝纤维化程度。广泛应用于慢性肝病纤维化程度的确认，肝病治疗效果的评估，治疗过程监控，肝硬化并发症的预测以及健康人群的肝纤维化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543" w:type="dxa"/>
            <w:vAlign w:val="center"/>
          </w:tcPr>
          <w:p>
            <w:pPr>
              <w:jc w:val="both"/>
              <w:rPr>
                <w:sz w:val="24"/>
                <w:szCs w:val="24"/>
                <w:vertAlign w:val="baseline"/>
              </w:rPr>
            </w:pPr>
            <w:r>
              <w:rPr>
                <w:rFonts w:hint="eastAsia"/>
                <w:sz w:val="24"/>
                <w:szCs w:val="24"/>
              </w:rPr>
              <w:t xml:space="preserve">▲2 </w:t>
            </w:r>
          </w:p>
        </w:tc>
        <w:tc>
          <w:tcPr>
            <w:tcW w:w="2496" w:type="dxa"/>
            <w:vAlign w:val="center"/>
          </w:tcPr>
          <w:p>
            <w:pPr>
              <w:jc w:val="both"/>
              <w:rPr>
                <w:sz w:val="24"/>
                <w:szCs w:val="24"/>
                <w:vertAlign w:val="baseline"/>
              </w:rPr>
            </w:pPr>
            <w:r>
              <w:rPr>
                <w:rFonts w:hint="eastAsia"/>
                <w:sz w:val="24"/>
                <w:szCs w:val="24"/>
              </w:rPr>
              <w:t>检测和评估肝脏脂肪变程度</w:t>
            </w:r>
          </w:p>
        </w:tc>
        <w:tc>
          <w:tcPr>
            <w:tcW w:w="4483" w:type="dxa"/>
            <w:vAlign w:val="center"/>
          </w:tcPr>
          <w:p>
            <w:pPr>
              <w:jc w:val="both"/>
              <w:rPr>
                <w:sz w:val="24"/>
                <w:szCs w:val="24"/>
                <w:vertAlign w:val="baseline"/>
              </w:rPr>
            </w:pPr>
            <w:r>
              <w:rPr>
                <w:rFonts w:hint="eastAsia"/>
                <w:sz w:val="24"/>
                <w:szCs w:val="24"/>
              </w:rPr>
              <w:t>用于肝脏声衰减参数检测，辅助肝脏脂肪变程度诊断。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543" w:type="dxa"/>
            <w:vAlign w:val="center"/>
          </w:tcPr>
          <w:p>
            <w:pPr>
              <w:jc w:val="both"/>
              <w:rPr>
                <w:sz w:val="24"/>
                <w:szCs w:val="24"/>
                <w:vertAlign w:val="baseline"/>
              </w:rPr>
            </w:pPr>
            <w:r>
              <w:rPr>
                <w:rFonts w:hint="eastAsia"/>
                <w:sz w:val="24"/>
                <w:szCs w:val="24"/>
              </w:rPr>
              <w:t>＊3</w:t>
            </w:r>
          </w:p>
        </w:tc>
        <w:tc>
          <w:tcPr>
            <w:tcW w:w="2496" w:type="dxa"/>
            <w:vAlign w:val="center"/>
          </w:tcPr>
          <w:p>
            <w:pPr>
              <w:jc w:val="both"/>
              <w:rPr>
                <w:sz w:val="24"/>
                <w:szCs w:val="24"/>
                <w:vertAlign w:val="baseline"/>
              </w:rPr>
            </w:pPr>
            <w:r>
              <w:rPr>
                <w:rFonts w:hint="eastAsia"/>
                <w:sz w:val="24"/>
                <w:szCs w:val="24"/>
              </w:rPr>
              <w:t>超声诊断功能</w:t>
            </w:r>
          </w:p>
        </w:tc>
        <w:tc>
          <w:tcPr>
            <w:tcW w:w="4483" w:type="dxa"/>
            <w:vAlign w:val="center"/>
          </w:tcPr>
          <w:p>
            <w:pPr>
              <w:jc w:val="both"/>
              <w:rPr>
                <w:sz w:val="24"/>
                <w:szCs w:val="24"/>
                <w:vertAlign w:val="baseline"/>
              </w:rPr>
            </w:pPr>
            <w:r>
              <w:rPr>
                <w:rFonts w:hint="eastAsia" w:ascii="宋体" w:hAnsi="宋体" w:eastAsia="宋体" w:cs="宋体"/>
                <w:sz w:val="24"/>
                <w:szCs w:val="24"/>
              </w:rPr>
              <w:t>集成影像功能，用于人体腹部的超声诊断。使用独立的二维影像探头进行二维成像，可以实现肝脏组织的形态结构检查。提供注册证证明。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543" w:type="dxa"/>
            <w:vAlign w:val="center"/>
          </w:tcPr>
          <w:p>
            <w:pPr>
              <w:jc w:val="both"/>
              <w:rPr>
                <w:rFonts w:hint="eastAsia" w:eastAsiaTheme="minorEastAsia"/>
                <w:sz w:val="24"/>
                <w:szCs w:val="24"/>
                <w:vertAlign w:val="baseline"/>
                <w:lang w:eastAsia="zh-CN"/>
              </w:rPr>
            </w:pPr>
            <w:r>
              <w:rPr>
                <w:rFonts w:hint="eastAsia"/>
                <w:sz w:val="24"/>
                <w:szCs w:val="24"/>
              </w:rPr>
              <w:t>▲</w:t>
            </w:r>
            <w:r>
              <w:rPr>
                <w:rFonts w:hint="eastAsia"/>
                <w:sz w:val="24"/>
                <w:szCs w:val="24"/>
                <w:lang w:val="en-US" w:eastAsia="zh-CN"/>
              </w:rPr>
              <w:t>4</w:t>
            </w:r>
          </w:p>
        </w:tc>
        <w:tc>
          <w:tcPr>
            <w:tcW w:w="2496" w:type="dxa"/>
            <w:vAlign w:val="center"/>
          </w:tcPr>
          <w:p>
            <w:pPr>
              <w:jc w:val="both"/>
              <w:rPr>
                <w:sz w:val="24"/>
                <w:szCs w:val="24"/>
                <w:vertAlign w:val="baseline"/>
              </w:rPr>
            </w:pPr>
            <w:r>
              <w:rPr>
                <w:rFonts w:hint="eastAsia"/>
                <w:sz w:val="24"/>
                <w:szCs w:val="24"/>
              </w:rPr>
              <w:t>用户情况</w:t>
            </w:r>
          </w:p>
        </w:tc>
        <w:tc>
          <w:tcPr>
            <w:tcW w:w="4483" w:type="dxa"/>
            <w:vAlign w:val="center"/>
          </w:tcPr>
          <w:p>
            <w:pPr>
              <w:jc w:val="both"/>
              <w:rPr>
                <w:sz w:val="24"/>
                <w:szCs w:val="24"/>
                <w:vertAlign w:val="baseline"/>
              </w:rPr>
            </w:pPr>
            <w:r>
              <w:rPr>
                <w:rFonts w:hint="eastAsia"/>
                <w:sz w:val="24"/>
                <w:szCs w:val="24"/>
              </w:rPr>
              <w:t>知名品牌，全国同类技术装机用户数量不低于300家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1543" w:type="dxa"/>
            <w:vAlign w:val="center"/>
          </w:tcPr>
          <w:p>
            <w:pPr>
              <w:jc w:val="both"/>
              <w:rPr>
                <w:sz w:val="24"/>
                <w:szCs w:val="24"/>
                <w:vertAlign w:val="baseline"/>
              </w:rPr>
            </w:pPr>
            <w:r>
              <w:rPr>
                <w:rFonts w:hint="eastAsia"/>
                <w:sz w:val="24"/>
                <w:szCs w:val="24"/>
              </w:rPr>
              <w:t>三</w:t>
            </w:r>
          </w:p>
        </w:tc>
        <w:tc>
          <w:tcPr>
            <w:tcW w:w="2496" w:type="dxa"/>
            <w:vAlign w:val="center"/>
          </w:tcPr>
          <w:p>
            <w:pPr>
              <w:jc w:val="both"/>
              <w:rPr>
                <w:sz w:val="24"/>
                <w:szCs w:val="24"/>
                <w:vertAlign w:val="baseline"/>
              </w:rPr>
            </w:pPr>
            <w:r>
              <w:rPr>
                <w:rFonts w:hint="eastAsia"/>
                <w:sz w:val="24"/>
                <w:szCs w:val="24"/>
              </w:rPr>
              <w:t>适用范围</w:t>
            </w:r>
          </w:p>
        </w:tc>
        <w:tc>
          <w:tcPr>
            <w:tcW w:w="4483" w:type="dxa"/>
            <w:vAlign w:val="center"/>
          </w:tcPr>
          <w:p>
            <w:pPr>
              <w:jc w:val="both"/>
              <w:rPr>
                <w:sz w:val="24"/>
                <w:szCs w:val="24"/>
                <w:vertAlign w:val="baseline"/>
              </w:rPr>
            </w:pPr>
            <w:r>
              <w:rPr>
                <w:rFonts w:hint="eastAsia" w:ascii="宋体" w:hAnsi="宋体" w:eastAsia="宋体" w:cs="宋体"/>
                <w:sz w:val="24"/>
                <w:szCs w:val="24"/>
              </w:rPr>
              <w:t>包含病毒性肝炎，非酒精性脂肪肝、酒精性肝病、药物性肝损伤、胆汁淤积性肝病所导致引起的肝纤维化和肝硬化的准确诊断，抗病毒和抗纤维化疗效的动态评估，肝硬化并发症的预测。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sz w:val="24"/>
                <w:szCs w:val="24"/>
                <w:vertAlign w:val="baseline"/>
              </w:rPr>
            </w:pPr>
            <w:r>
              <w:rPr>
                <w:rFonts w:hint="eastAsia"/>
                <w:sz w:val="24"/>
                <w:szCs w:val="24"/>
              </w:rPr>
              <w:t xml:space="preserve">＊四 </w:t>
            </w:r>
          </w:p>
        </w:tc>
        <w:tc>
          <w:tcPr>
            <w:tcW w:w="2496" w:type="dxa"/>
            <w:vAlign w:val="center"/>
          </w:tcPr>
          <w:p>
            <w:pPr>
              <w:jc w:val="both"/>
              <w:rPr>
                <w:sz w:val="24"/>
                <w:szCs w:val="24"/>
                <w:vertAlign w:val="baseline"/>
              </w:rPr>
            </w:pPr>
            <w:r>
              <w:rPr>
                <w:rFonts w:hint="eastAsia"/>
                <w:sz w:val="24"/>
                <w:szCs w:val="24"/>
              </w:rPr>
              <w:t>产地要求</w:t>
            </w:r>
          </w:p>
        </w:tc>
        <w:tc>
          <w:tcPr>
            <w:tcW w:w="4483" w:type="dxa"/>
            <w:vAlign w:val="center"/>
          </w:tcPr>
          <w:p>
            <w:pPr>
              <w:jc w:val="both"/>
              <w:rPr>
                <w:sz w:val="24"/>
                <w:szCs w:val="24"/>
                <w:vertAlign w:val="baseline"/>
              </w:rPr>
            </w:pPr>
            <w:r>
              <w:rPr>
                <w:rFonts w:hint="eastAsia"/>
                <w:sz w:val="24"/>
                <w:szCs w:val="24"/>
              </w:rPr>
              <w:t>国内生产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sz w:val="24"/>
                <w:szCs w:val="24"/>
                <w:vertAlign w:val="baseline"/>
              </w:rPr>
            </w:pPr>
            <w:r>
              <w:rPr>
                <w:rFonts w:hint="eastAsia"/>
                <w:sz w:val="24"/>
                <w:szCs w:val="24"/>
              </w:rPr>
              <w:t>＊五</w:t>
            </w:r>
          </w:p>
        </w:tc>
        <w:tc>
          <w:tcPr>
            <w:tcW w:w="2496" w:type="dxa"/>
            <w:vAlign w:val="center"/>
          </w:tcPr>
          <w:p>
            <w:pPr>
              <w:jc w:val="both"/>
              <w:rPr>
                <w:sz w:val="24"/>
                <w:szCs w:val="24"/>
                <w:vertAlign w:val="baseline"/>
              </w:rPr>
            </w:pPr>
            <w:r>
              <w:rPr>
                <w:rFonts w:hint="eastAsia"/>
                <w:sz w:val="24"/>
                <w:szCs w:val="24"/>
              </w:rPr>
              <w:t>认证</w:t>
            </w:r>
          </w:p>
        </w:tc>
        <w:tc>
          <w:tcPr>
            <w:tcW w:w="4483" w:type="dxa"/>
            <w:vAlign w:val="center"/>
          </w:tcPr>
          <w:p>
            <w:pPr>
              <w:jc w:val="both"/>
              <w:rPr>
                <w:sz w:val="24"/>
                <w:szCs w:val="24"/>
                <w:vertAlign w:val="baseline"/>
              </w:rPr>
            </w:pPr>
            <w:r>
              <w:rPr>
                <w:rFonts w:hint="eastAsia"/>
                <w:sz w:val="24"/>
                <w:szCs w:val="24"/>
              </w:rPr>
              <w:t>通过CE和CFDA认证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sz w:val="24"/>
                <w:szCs w:val="24"/>
                <w:vertAlign w:val="baseline"/>
              </w:rPr>
            </w:pPr>
            <w:r>
              <w:rPr>
                <w:rFonts w:hint="eastAsia"/>
                <w:sz w:val="24"/>
                <w:szCs w:val="24"/>
              </w:rPr>
              <w:t xml:space="preserve">六 </w:t>
            </w:r>
          </w:p>
        </w:tc>
        <w:tc>
          <w:tcPr>
            <w:tcW w:w="6979" w:type="dxa"/>
            <w:gridSpan w:val="2"/>
            <w:vAlign w:val="center"/>
          </w:tcPr>
          <w:p>
            <w:pPr>
              <w:jc w:val="both"/>
              <w:rPr>
                <w:sz w:val="24"/>
                <w:szCs w:val="24"/>
                <w:vertAlign w:val="baseline"/>
              </w:rPr>
            </w:pPr>
            <w:r>
              <w:rPr>
                <w:rFonts w:hint="eastAsia"/>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sz w:val="24"/>
                <w:szCs w:val="24"/>
                <w:vertAlign w:val="baseline"/>
              </w:rPr>
            </w:pPr>
            <w:r>
              <w:rPr>
                <w:rFonts w:hint="eastAsia"/>
                <w:sz w:val="24"/>
                <w:szCs w:val="24"/>
              </w:rPr>
              <w:t xml:space="preserve">1 </w:t>
            </w:r>
          </w:p>
        </w:tc>
        <w:tc>
          <w:tcPr>
            <w:tcW w:w="6979" w:type="dxa"/>
            <w:gridSpan w:val="2"/>
            <w:vAlign w:val="center"/>
          </w:tcPr>
          <w:p>
            <w:pPr>
              <w:jc w:val="both"/>
              <w:rPr>
                <w:sz w:val="24"/>
                <w:szCs w:val="24"/>
                <w:vertAlign w:val="baseline"/>
              </w:rPr>
            </w:pPr>
            <w:r>
              <w:rPr>
                <w:rFonts w:hint="eastAsia"/>
                <w:sz w:val="24"/>
                <w:szCs w:val="24"/>
              </w:rPr>
              <w:t>一般要求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543" w:type="dxa"/>
            <w:vAlign w:val="center"/>
          </w:tcPr>
          <w:p>
            <w:pPr>
              <w:jc w:val="both"/>
              <w:rPr>
                <w:sz w:val="24"/>
                <w:szCs w:val="24"/>
                <w:vertAlign w:val="baseline"/>
              </w:rPr>
            </w:pPr>
            <w:r>
              <w:rPr>
                <w:rFonts w:hint="eastAsia"/>
                <w:sz w:val="24"/>
                <w:szCs w:val="24"/>
              </w:rPr>
              <w:t>1.1</w:t>
            </w:r>
          </w:p>
        </w:tc>
        <w:tc>
          <w:tcPr>
            <w:tcW w:w="2496" w:type="dxa"/>
            <w:vAlign w:val="center"/>
          </w:tcPr>
          <w:p>
            <w:pPr>
              <w:jc w:val="both"/>
              <w:rPr>
                <w:sz w:val="24"/>
                <w:szCs w:val="24"/>
                <w:vertAlign w:val="baseline"/>
              </w:rPr>
            </w:pPr>
            <w:r>
              <w:rPr>
                <w:rFonts w:hint="eastAsia"/>
                <w:sz w:val="24"/>
                <w:szCs w:val="24"/>
              </w:rPr>
              <w:t>原理</w:t>
            </w:r>
          </w:p>
        </w:tc>
        <w:tc>
          <w:tcPr>
            <w:tcW w:w="4483" w:type="dxa"/>
            <w:vAlign w:val="center"/>
          </w:tcPr>
          <w:p>
            <w:pPr>
              <w:rPr>
                <w:sz w:val="24"/>
                <w:szCs w:val="24"/>
                <w:vertAlign w:val="baseline"/>
              </w:rPr>
            </w:pPr>
            <w:r>
              <w:rPr>
                <w:rFonts w:hint="eastAsia"/>
                <w:sz w:val="24"/>
                <w:szCs w:val="24"/>
              </w:rPr>
              <w:t>利用瞬时弹性成像技术来评估肝脏的硬度；利用超声衰减理论来评估肝组织的脂肪变数值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sz w:val="24"/>
                <w:szCs w:val="24"/>
                <w:vertAlign w:val="baseline"/>
              </w:rPr>
            </w:pPr>
            <w:r>
              <w:rPr>
                <w:rFonts w:hint="eastAsia"/>
                <w:sz w:val="24"/>
                <w:szCs w:val="24"/>
              </w:rPr>
              <w:t>1.2</w:t>
            </w:r>
          </w:p>
        </w:tc>
        <w:tc>
          <w:tcPr>
            <w:tcW w:w="2496" w:type="dxa"/>
            <w:vAlign w:val="center"/>
          </w:tcPr>
          <w:p>
            <w:pPr>
              <w:jc w:val="both"/>
              <w:rPr>
                <w:sz w:val="24"/>
                <w:szCs w:val="24"/>
                <w:vertAlign w:val="baseline"/>
              </w:rPr>
            </w:pPr>
            <w:r>
              <w:rPr>
                <w:rFonts w:hint="eastAsia"/>
                <w:sz w:val="24"/>
                <w:szCs w:val="24"/>
              </w:rPr>
              <w:t>专用系统电源输入</w:t>
            </w:r>
          </w:p>
        </w:tc>
        <w:tc>
          <w:tcPr>
            <w:tcW w:w="4483" w:type="dxa"/>
            <w:vAlign w:val="center"/>
          </w:tcPr>
          <w:p>
            <w:pPr>
              <w:jc w:val="both"/>
              <w:rPr>
                <w:sz w:val="24"/>
                <w:szCs w:val="24"/>
                <w:vertAlign w:val="baseline"/>
              </w:rPr>
            </w:pPr>
            <w:r>
              <w:rPr>
                <w:rFonts w:hint="eastAsia"/>
                <w:sz w:val="24"/>
                <w:szCs w:val="24"/>
              </w:rPr>
              <w:t>AC220V±10%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sz w:val="24"/>
                <w:szCs w:val="24"/>
                <w:vertAlign w:val="baseline"/>
              </w:rPr>
            </w:pPr>
            <w:r>
              <w:rPr>
                <w:rFonts w:hint="eastAsia"/>
                <w:sz w:val="24"/>
                <w:szCs w:val="24"/>
              </w:rPr>
              <w:t>1.3</w:t>
            </w:r>
          </w:p>
        </w:tc>
        <w:tc>
          <w:tcPr>
            <w:tcW w:w="2496" w:type="dxa"/>
            <w:vAlign w:val="center"/>
          </w:tcPr>
          <w:p>
            <w:pPr>
              <w:jc w:val="both"/>
              <w:rPr>
                <w:sz w:val="24"/>
                <w:szCs w:val="24"/>
                <w:vertAlign w:val="baseline"/>
              </w:rPr>
            </w:pPr>
            <w:r>
              <w:rPr>
                <w:rFonts w:hint="eastAsia"/>
                <w:sz w:val="24"/>
                <w:szCs w:val="24"/>
              </w:rPr>
              <w:t>设备形式</w:t>
            </w:r>
          </w:p>
        </w:tc>
        <w:tc>
          <w:tcPr>
            <w:tcW w:w="4483" w:type="dxa"/>
            <w:vAlign w:val="center"/>
          </w:tcPr>
          <w:p>
            <w:pPr>
              <w:jc w:val="both"/>
              <w:rPr>
                <w:sz w:val="24"/>
                <w:szCs w:val="24"/>
                <w:vertAlign w:val="baseline"/>
              </w:rPr>
            </w:pPr>
            <w:r>
              <w:rPr>
                <w:rFonts w:hint="eastAsia"/>
                <w:sz w:val="24"/>
                <w:szCs w:val="24"/>
              </w:rPr>
              <w:t>便携式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543" w:type="dxa"/>
            <w:vAlign w:val="center"/>
          </w:tcPr>
          <w:p>
            <w:pPr>
              <w:jc w:val="both"/>
              <w:rPr>
                <w:sz w:val="24"/>
                <w:szCs w:val="24"/>
                <w:vertAlign w:val="baseline"/>
              </w:rPr>
            </w:pPr>
            <w:r>
              <w:rPr>
                <w:rFonts w:hint="eastAsia"/>
                <w:sz w:val="24"/>
                <w:szCs w:val="24"/>
              </w:rPr>
              <w:t>＊1.4</w:t>
            </w:r>
          </w:p>
        </w:tc>
        <w:tc>
          <w:tcPr>
            <w:tcW w:w="2496" w:type="dxa"/>
            <w:vAlign w:val="center"/>
          </w:tcPr>
          <w:p>
            <w:pPr>
              <w:jc w:val="both"/>
              <w:rPr>
                <w:sz w:val="24"/>
                <w:szCs w:val="24"/>
                <w:vertAlign w:val="baseline"/>
              </w:rPr>
            </w:pPr>
            <w:r>
              <w:rPr>
                <w:rFonts w:hint="eastAsia"/>
                <w:sz w:val="24"/>
                <w:szCs w:val="24"/>
              </w:rPr>
              <w:t>探头组成方式</w:t>
            </w:r>
          </w:p>
        </w:tc>
        <w:tc>
          <w:tcPr>
            <w:tcW w:w="4483" w:type="dxa"/>
            <w:vAlign w:val="center"/>
          </w:tcPr>
          <w:p>
            <w:pPr>
              <w:jc w:val="both"/>
              <w:rPr>
                <w:sz w:val="24"/>
                <w:szCs w:val="24"/>
                <w:vertAlign w:val="baseline"/>
              </w:rPr>
            </w:pPr>
            <w:r>
              <w:rPr>
                <w:rFonts w:hint="eastAsia"/>
                <w:sz w:val="24"/>
                <w:szCs w:val="24"/>
              </w:rPr>
              <w:t>影像引导探头与纤维扫描探头连接同一台主机及控制中心设计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sz w:val="24"/>
                <w:szCs w:val="24"/>
                <w:vertAlign w:val="baseline"/>
              </w:rPr>
            </w:pPr>
            <w:r>
              <w:rPr>
                <w:rFonts w:hint="eastAsia"/>
                <w:sz w:val="24"/>
                <w:szCs w:val="24"/>
              </w:rPr>
              <w:t>＊1.5</w:t>
            </w:r>
          </w:p>
        </w:tc>
        <w:tc>
          <w:tcPr>
            <w:tcW w:w="2496" w:type="dxa"/>
            <w:vAlign w:val="center"/>
          </w:tcPr>
          <w:p>
            <w:pPr>
              <w:jc w:val="both"/>
              <w:rPr>
                <w:sz w:val="24"/>
                <w:szCs w:val="24"/>
                <w:vertAlign w:val="baseline"/>
              </w:rPr>
            </w:pPr>
            <w:r>
              <w:rPr>
                <w:rFonts w:hint="eastAsia"/>
                <w:sz w:val="24"/>
                <w:szCs w:val="24"/>
              </w:rPr>
              <w:t>探头剪切波触动方式</w:t>
            </w:r>
          </w:p>
        </w:tc>
        <w:tc>
          <w:tcPr>
            <w:tcW w:w="4483" w:type="dxa"/>
            <w:vAlign w:val="center"/>
          </w:tcPr>
          <w:p>
            <w:pPr>
              <w:jc w:val="both"/>
              <w:rPr>
                <w:sz w:val="24"/>
                <w:szCs w:val="24"/>
                <w:vertAlign w:val="baseline"/>
              </w:rPr>
            </w:pPr>
            <w:r>
              <w:rPr>
                <w:rFonts w:hint="eastAsia"/>
                <w:sz w:val="24"/>
                <w:szCs w:val="24"/>
              </w:rPr>
              <w:t>脚踏开关触发探头剪切波发射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sz w:val="24"/>
                <w:szCs w:val="24"/>
                <w:vertAlign w:val="baseline"/>
              </w:rPr>
            </w:pPr>
            <w:r>
              <w:rPr>
                <w:rFonts w:hint="eastAsia"/>
                <w:sz w:val="24"/>
                <w:szCs w:val="24"/>
              </w:rPr>
              <w:t>2</w:t>
            </w:r>
          </w:p>
        </w:tc>
        <w:tc>
          <w:tcPr>
            <w:tcW w:w="6979" w:type="dxa"/>
            <w:gridSpan w:val="2"/>
            <w:vAlign w:val="center"/>
          </w:tcPr>
          <w:p>
            <w:pPr>
              <w:jc w:val="both"/>
              <w:rPr>
                <w:sz w:val="24"/>
                <w:szCs w:val="24"/>
                <w:vertAlign w:val="baseline"/>
              </w:rPr>
            </w:pPr>
            <w:r>
              <w:rPr>
                <w:rFonts w:hint="eastAsia"/>
                <w:sz w:val="24"/>
                <w:szCs w:val="24"/>
              </w:rPr>
              <w:t>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sz w:val="24"/>
                <w:szCs w:val="24"/>
                <w:vertAlign w:val="baseline"/>
              </w:rPr>
            </w:pPr>
            <w:r>
              <w:rPr>
                <w:rFonts w:hint="eastAsia"/>
                <w:sz w:val="24"/>
                <w:szCs w:val="24"/>
              </w:rPr>
              <w:t>2.1</w:t>
            </w:r>
          </w:p>
        </w:tc>
        <w:tc>
          <w:tcPr>
            <w:tcW w:w="2496" w:type="dxa"/>
            <w:vAlign w:val="center"/>
          </w:tcPr>
          <w:p>
            <w:pPr>
              <w:jc w:val="both"/>
              <w:rPr>
                <w:sz w:val="24"/>
                <w:szCs w:val="24"/>
                <w:vertAlign w:val="baseline"/>
              </w:rPr>
            </w:pPr>
            <w:r>
              <w:rPr>
                <w:rFonts w:hint="eastAsia"/>
                <w:sz w:val="24"/>
                <w:szCs w:val="24"/>
              </w:rPr>
              <w:t>控制平台</w:t>
            </w:r>
          </w:p>
        </w:tc>
        <w:tc>
          <w:tcPr>
            <w:tcW w:w="4483" w:type="dxa"/>
            <w:vAlign w:val="center"/>
          </w:tcPr>
          <w:p>
            <w:pPr>
              <w:jc w:val="both"/>
              <w:rPr>
                <w:sz w:val="24"/>
                <w:szCs w:val="24"/>
                <w:vertAlign w:val="baseline"/>
              </w:rPr>
            </w:pPr>
            <w:r>
              <w:rPr>
                <w:rFonts w:hint="eastAsia"/>
                <w:sz w:val="24"/>
                <w:szCs w:val="24"/>
              </w:rPr>
              <w:t>高速处理及控制平台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543" w:type="dxa"/>
            <w:vAlign w:val="center"/>
          </w:tcPr>
          <w:p>
            <w:pPr>
              <w:jc w:val="both"/>
              <w:rPr>
                <w:sz w:val="24"/>
                <w:szCs w:val="24"/>
                <w:vertAlign w:val="baseline"/>
              </w:rPr>
            </w:pPr>
            <w:r>
              <w:rPr>
                <w:rFonts w:hint="eastAsia"/>
                <w:sz w:val="24"/>
                <w:szCs w:val="24"/>
              </w:rPr>
              <w:t>＊2.2</w:t>
            </w:r>
          </w:p>
        </w:tc>
        <w:tc>
          <w:tcPr>
            <w:tcW w:w="2496" w:type="dxa"/>
            <w:vAlign w:val="center"/>
          </w:tcPr>
          <w:p>
            <w:pPr>
              <w:jc w:val="both"/>
              <w:rPr>
                <w:sz w:val="24"/>
                <w:szCs w:val="24"/>
                <w:vertAlign w:val="baseline"/>
              </w:rPr>
            </w:pPr>
            <w:r>
              <w:rPr>
                <w:rFonts w:hint="eastAsia"/>
                <w:sz w:val="24"/>
                <w:szCs w:val="24"/>
              </w:rPr>
              <w:t>显示器</w:t>
            </w:r>
          </w:p>
        </w:tc>
        <w:tc>
          <w:tcPr>
            <w:tcW w:w="4483" w:type="dxa"/>
            <w:vAlign w:val="center"/>
          </w:tcPr>
          <w:p>
            <w:pPr>
              <w:jc w:val="both"/>
              <w:rPr>
                <w:rFonts w:hint="eastAsia"/>
                <w:sz w:val="24"/>
                <w:szCs w:val="24"/>
              </w:rPr>
            </w:pPr>
            <w:r>
              <w:rPr>
                <w:rFonts w:hint="eastAsia"/>
                <w:sz w:val="24"/>
                <w:szCs w:val="24"/>
              </w:rPr>
              <w:t>≥12"多点触控液晶屏,分辨率</w:t>
            </w:r>
          </w:p>
          <w:p>
            <w:pPr>
              <w:jc w:val="both"/>
              <w:rPr>
                <w:sz w:val="24"/>
                <w:szCs w:val="24"/>
                <w:vertAlign w:val="baseline"/>
              </w:rPr>
            </w:pPr>
            <w:r>
              <w:rPr>
                <w:rFonts w:hint="eastAsia"/>
                <w:sz w:val="24"/>
                <w:szCs w:val="24"/>
              </w:rPr>
              <w:t>2736×1824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sz w:val="24"/>
                <w:szCs w:val="24"/>
                <w:vertAlign w:val="baseline"/>
              </w:rPr>
            </w:pPr>
            <w:r>
              <w:rPr>
                <w:rFonts w:hint="eastAsia"/>
                <w:sz w:val="24"/>
                <w:szCs w:val="24"/>
              </w:rPr>
              <w:t>2.3</w:t>
            </w:r>
          </w:p>
        </w:tc>
        <w:tc>
          <w:tcPr>
            <w:tcW w:w="2496" w:type="dxa"/>
            <w:vAlign w:val="center"/>
          </w:tcPr>
          <w:p>
            <w:pPr>
              <w:jc w:val="both"/>
              <w:rPr>
                <w:sz w:val="24"/>
                <w:szCs w:val="24"/>
                <w:vertAlign w:val="baseline"/>
              </w:rPr>
            </w:pPr>
            <w:r>
              <w:rPr>
                <w:rFonts w:hint="eastAsia"/>
                <w:sz w:val="24"/>
                <w:szCs w:val="24"/>
              </w:rPr>
              <w:t>信号端口</w:t>
            </w:r>
          </w:p>
        </w:tc>
        <w:tc>
          <w:tcPr>
            <w:tcW w:w="4483" w:type="dxa"/>
            <w:vAlign w:val="center"/>
          </w:tcPr>
          <w:p>
            <w:pPr>
              <w:jc w:val="both"/>
              <w:rPr>
                <w:sz w:val="24"/>
                <w:szCs w:val="24"/>
                <w:vertAlign w:val="baseline"/>
              </w:rPr>
            </w:pPr>
            <w:r>
              <w:rPr>
                <w:rFonts w:hint="eastAsia"/>
                <w:sz w:val="24"/>
                <w:szCs w:val="24"/>
              </w:rPr>
              <w:t>USB≥2，脚踏接口，DMiniDP视频输出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sz w:val="24"/>
                <w:szCs w:val="24"/>
                <w:vertAlign w:val="baseline"/>
              </w:rPr>
            </w:pPr>
            <w:r>
              <w:rPr>
                <w:rFonts w:hint="eastAsia"/>
                <w:sz w:val="24"/>
                <w:szCs w:val="24"/>
              </w:rPr>
              <w:t>2.4</w:t>
            </w:r>
          </w:p>
        </w:tc>
        <w:tc>
          <w:tcPr>
            <w:tcW w:w="2496" w:type="dxa"/>
            <w:vAlign w:val="center"/>
          </w:tcPr>
          <w:p>
            <w:pPr>
              <w:jc w:val="both"/>
              <w:rPr>
                <w:sz w:val="24"/>
                <w:szCs w:val="24"/>
                <w:vertAlign w:val="baseline"/>
              </w:rPr>
            </w:pPr>
            <w:r>
              <w:rPr>
                <w:rFonts w:hint="eastAsia"/>
                <w:sz w:val="24"/>
                <w:szCs w:val="24"/>
              </w:rPr>
              <w:t>探头接口</w:t>
            </w:r>
          </w:p>
        </w:tc>
        <w:tc>
          <w:tcPr>
            <w:tcW w:w="4483" w:type="dxa"/>
            <w:vAlign w:val="center"/>
          </w:tcPr>
          <w:p>
            <w:pPr>
              <w:jc w:val="both"/>
              <w:rPr>
                <w:sz w:val="24"/>
                <w:szCs w:val="24"/>
                <w:vertAlign w:val="baseline"/>
              </w:rPr>
            </w:pPr>
            <w:r>
              <w:rPr>
                <w:rFonts w:hint="eastAsia"/>
                <w:sz w:val="24"/>
                <w:szCs w:val="24"/>
              </w:rPr>
              <w:t>纤维扫描探头接口1个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sz w:val="24"/>
                <w:szCs w:val="24"/>
                <w:vertAlign w:val="baseline"/>
              </w:rPr>
            </w:pPr>
            <w:r>
              <w:rPr>
                <w:rFonts w:hint="eastAsia"/>
                <w:sz w:val="24"/>
                <w:szCs w:val="24"/>
              </w:rPr>
              <w:t>▲2.5</w:t>
            </w:r>
          </w:p>
        </w:tc>
        <w:tc>
          <w:tcPr>
            <w:tcW w:w="2496" w:type="dxa"/>
            <w:vAlign w:val="center"/>
          </w:tcPr>
          <w:p>
            <w:pPr>
              <w:jc w:val="both"/>
              <w:rPr>
                <w:sz w:val="24"/>
                <w:szCs w:val="24"/>
                <w:vertAlign w:val="baseline"/>
              </w:rPr>
            </w:pPr>
            <w:r>
              <w:rPr>
                <w:rFonts w:hint="eastAsia"/>
                <w:sz w:val="24"/>
                <w:szCs w:val="24"/>
              </w:rPr>
              <w:t>影像引导功能</w:t>
            </w:r>
          </w:p>
        </w:tc>
        <w:tc>
          <w:tcPr>
            <w:tcW w:w="4483" w:type="dxa"/>
            <w:vAlign w:val="center"/>
          </w:tcPr>
          <w:p>
            <w:pPr>
              <w:jc w:val="both"/>
              <w:rPr>
                <w:sz w:val="24"/>
                <w:szCs w:val="24"/>
                <w:vertAlign w:val="baseline"/>
              </w:rPr>
            </w:pPr>
            <w:r>
              <w:rPr>
                <w:rFonts w:hint="eastAsia"/>
                <w:sz w:val="24"/>
                <w:szCs w:val="24"/>
              </w:rPr>
              <w:t>超声影像模块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sz w:val="24"/>
                <w:szCs w:val="24"/>
                <w:vertAlign w:val="baseline"/>
              </w:rPr>
            </w:pPr>
            <w:r>
              <w:rPr>
                <w:rFonts w:hint="eastAsia"/>
                <w:sz w:val="24"/>
                <w:szCs w:val="24"/>
              </w:rPr>
              <w:t>2.6</w:t>
            </w:r>
          </w:p>
        </w:tc>
        <w:tc>
          <w:tcPr>
            <w:tcW w:w="2496" w:type="dxa"/>
            <w:vAlign w:val="center"/>
          </w:tcPr>
          <w:p>
            <w:pPr>
              <w:jc w:val="both"/>
              <w:rPr>
                <w:sz w:val="24"/>
                <w:szCs w:val="24"/>
                <w:vertAlign w:val="baseline"/>
              </w:rPr>
            </w:pPr>
            <w:r>
              <w:rPr>
                <w:rFonts w:hint="eastAsia"/>
                <w:sz w:val="24"/>
                <w:szCs w:val="24"/>
              </w:rPr>
              <w:t>纤维扫描功能</w:t>
            </w:r>
          </w:p>
        </w:tc>
        <w:tc>
          <w:tcPr>
            <w:tcW w:w="4483" w:type="dxa"/>
            <w:vAlign w:val="center"/>
          </w:tcPr>
          <w:p>
            <w:pPr>
              <w:jc w:val="both"/>
              <w:rPr>
                <w:sz w:val="24"/>
                <w:szCs w:val="24"/>
                <w:vertAlign w:val="baseline"/>
              </w:rPr>
            </w:pPr>
            <w:r>
              <w:rPr>
                <w:rFonts w:hint="eastAsia"/>
                <w:sz w:val="24"/>
                <w:szCs w:val="24"/>
              </w:rPr>
              <w:t>数字化肝纤维诊断模块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sz w:val="24"/>
                <w:szCs w:val="24"/>
                <w:vertAlign w:val="baseline"/>
              </w:rPr>
            </w:pPr>
            <w:r>
              <w:rPr>
                <w:rFonts w:hint="eastAsia"/>
                <w:sz w:val="24"/>
                <w:szCs w:val="24"/>
              </w:rPr>
              <w:t>2.7</w:t>
            </w:r>
          </w:p>
        </w:tc>
        <w:tc>
          <w:tcPr>
            <w:tcW w:w="2496" w:type="dxa"/>
            <w:vAlign w:val="center"/>
          </w:tcPr>
          <w:p>
            <w:pPr>
              <w:jc w:val="both"/>
              <w:rPr>
                <w:sz w:val="24"/>
                <w:szCs w:val="24"/>
                <w:vertAlign w:val="baseline"/>
              </w:rPr>
            </w:pPr>
            <w:r>
              <w:rPr>
                <w:rFonts w:hint="eastAsia"/>
                <w:sz w:val="24"/>
                <w:szCs w:val="24"/>
              </w:rPr>
              <w:t>DICOM功能</w:t>
            </w:r>
          </w:p>
        </w:tc>
        <w:tc>
          <w:tcPr>
            <w:tcW w:w="4483" w:type="dxa"/>
            <w:vAlign w:val="center"/>
          </w:tcPr>
          <w:p>
            <w:pPr>
              <w:jc w:val="both"/>
              <w:rPr>
                <w:sz w:val="24"/>
                <w:szCs w:val="24"/>
                <w:vertAlign w:val="baseline"/>
              </w:rPr>
            </w:pPr>
            <w:r>
              <w:rPr>
                <w:rFonts w:hint="eastAsia"/>
                <w:sz w:val="24"/>
                <w:szCs w:val="24"/>
              </w:rPr>
              <w:t>DICOM3.0标准图像和患者信息传输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sz w:val="24"/>
                <w:szCs w:val="24"/>
                <w:vertAlign w:val="baseline"/>
              </w:rPr>
            </w:pPr>
            <w:r>
              <w:rPr>
                <w:rFonts w:hint="eastAsia"/>
                <w:sz w:val="24"/>
                <w:szCs w:val="24"/>
              </w:rPr>
              <w:t>▲2.8</w:t>
            </w:r>
          </w:p>
        </w:tc>
        <w:tc>
          <w:tcPr>
            <w:tcW w:w="2496" w:type="dxa"/>
            <w:vAlign w:val="center"/>
          </w:tcPr>
          <w:p>
            <w:pPr>
              <w:jc w:val="both"/>
              <w:rPr>
                <w:sz w:val="24"/>
                <w:szCs w:val="24"/>
                <w:vertAlign w:val="baseline"/>
              </w:rPr>
            </w:pPr>
            <w:r>
              <w:rPr>
                <w:rFonts w:hint="eastAsia"/>
                <w:sz w:val="24"/>
                <w:szCs w:val="24"/>
              </w:rPr>
              <w:t>电池续航时间</w:t>
            </w:r>
          </w:p>
        </w:tc>
        <w:tc>
          <w:tcPr>
            <w:tcW w:w="4483" w:type="dxa"/>
            <w:vAlign w:val="center"/>
          </w:tcPr>
          <w:p>
            <w:pPr>
              <w:jc w:val="both"/>
              <w:rPr>
                <w:sz w:val="24"/>
                <w:szCs w:val="24"/>
                <w:vertAlign w:val="baseline"/>
              </w:rPr>
            </w:pPr>
            <w:r>
              <w:rPr>
                <w:rFonts w:hint="eastAsia"/>
                <w:sz w:val="24"/>
                <w:szCs w:val="24"/>
              </w:rPr>
              <w:t>&gt;3小时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rPr>
                <w:sz w:val="24"/>
                <w:szCs w:val="24"/>
                <w:vertAlign w:val="baseline"/>
              </w:rPr>
            </w:pPr>
            <w:r>
              <w:rPr>
                <w:rFonts w:hint="eastAsia"/>
                <w:sz w:val="24"/>
                <w:szCs w:val="24"/>
              </w:rPr>
              <w:t>2.9</w:t>
            </w:r>
          </w:p>
        </w:tc>
        <w:tc>
          <w:tcPr>
            <w:tcW w:w="2496" w:type="dxa"/>
            <w:vAlign w:val="center"/>
          </w:tcPr>
          <w:p>
            <w:pPr>
              <w:rPr>
                <w:sz w:val="24"/>
                <w:szCs w:val="24"/>
                <w:vertAlign w:val="baseline"/>
              </w:rPr>
            </w:pPr>
            <w:r>
              <w:rPr>
                <w:rFonts w:hint="eastAsia"/>
                <w:sz w:val="24"/>
                <w:szCs w:val="24"/>
              </w:rPr>
              <w:t>内存</w:t>
            </w:r>
          </w:p>
        </w:tc>
        <w:tc>
          <w:tcPr>
            <w:tcW w:w="4483" w:type="dxa"/>
            <w:vAlign w:val="center"/>
          </w:tcPr>
          <w:p>
            <w:pPr>
              <w:rPr>
                <w:sz w:val="24"/>
                <w:szCs w:val="24"/>
                <w:vertAlign w:val="baseline"/>
              </w:rPr>
            </w:pPr>
            <w:r>
              <w:rPr>
                <w:rFonts w:hint="eastAsia"/>
                <w:sz w:val="24"/>
                <w:szCs w:val="24"/>
              </w:rPr>
              <w:t>大容量内存≥4G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sz w:val="24"/>
                <w:szCs w:val="24"/>
                <w:vertAlign w:val="baseline"/>
              </w:rPr>
            </w:pPr>
            <w:r>
              <w:rPr>
                <w:rFonts w:hint="eastAsia"/>
                <w:sz w:val="24"/>
                <w:szCs w:val="24"/>
              </w:rPr>
              <w:t>2.10</w:t>
            </w:r>
          </w:p>
        </w:tc>
        <w:tc>
          <w:tcPr>
            <w:tcW w:w="2496" w:type="dxa"/>
            <w:vAlign w:val="center"/>
          </w:tcPr>
          <w:p>
            <w:pPr>
              <w:jc w:val="both"/>
              <w:rPr>
                <w:sz w:val="24"/>
                <w:szCs w:val="24"/>
                <w:vertAlign w:val="baseline"/>
              </w:rPr>
            </w:pPr>
            <w:r>
              <w:rPr>
                <w:rFonts w:hint="eastAsia"/>
                <w:sz w:val="24"/>
                <w:szCs w:val="24"/>
              </w:rPr>
              <w:t>存储容量</w:t>
            </w:r>
          </w:p>
        </w:tc>
        <w:tc>
          <w:tcPr>
            <w:tcW w:w="4483" w:type="dxa"/>
            <w:vAlign w:val="center"/>
          </w:tcPr>
          <w:p>
            <w:pPr>
              <w:jc w:val="both"/>
              <w:rPr>
                <w:sz w:val="24"/>
                <w:szCs w:val="24"/>
                <w:vertAlign w:val="baseline"/>
              </w:rPr>
            </w:pPr>
            <w:r>
              <w:rPr>
                <w:rFonts w:hint="eastAsia"/>
                <w:sz w:val="24"/>
                <w:szCs w:val="24"/>
              </w:rPr>
              <w:t>≥128G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sz w:val="24"/>
                <w:szCs w:val="24"/>
                <w:vertAlign w:val="baseline"/>
              </w:rPr>
            </w:pPr>
            <w:r>
              <w:rPr>
                <w:rFonts w:hint="eastAsia"/>
                <w:sz w:val="24"/>
                <w:szCs w:val="24"/>
              </w:rPr>
              <w:t>3</w:t>
            </w:r>
          </w:p>
        </w:tc>
        <w:tc>
          <w:tcPr>
            <w:tcW w:w="6979" w:type="dxa"/>
            <w:gridSpan w:val="2"/>
            <w:vAlign w:val="center"/>
          </w:tcPr>
          <w:p>
            <w:pPr>
              <w:jc w:val="both"/>
              <w:rPr>
                <w:sz w:val="24"/>
                <w:szCs w:val="24"/>
                <w:vertAlign w:val="baseline"/>
              </w:rPr>
            </w:pPr>
            <w:r>
              <w:rPr>
                <w:rFonts w:hint="eastAsia"/>
                <w:sz w:val="24"/>
                <w:szCs w:val="24"/>
              </w:rPr>
              <w:t>系统软件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sz w:val="24"/>
                <w:szCs w:val="24"/>
                <w:vertAlign w:val="baseline"/>
              </w:rPr>
            </w:pPr>
            <w:r>
              <w:rPr>
                <w:rFonts w:hint="eastAsia"/>
                <w:sz w:val="24"/>
                <w:szCs w:val="24"/>
              </w:rPr>
              <w:t>3.1</w:t>
            </w:r>
          </w:p>
        </w:tc>
        <w:tc>
          <w:tcPr>
            <w:tcW w:w="2496" w:type="dxa"/>
            <w:vAlign w:val="center"/>
          </w:tcPr>
          <w:p>
            <w:pPr>
              <w:jc w:val="both"/>
              <w:rPr>
                <w:sz w:val="24"/>
                <w:szCs w:val="24"/>
                <w:vertAlign w:val="baseline"/>
              </w:rPr>
            </w:pPr>
            <w:r>
              <w:rPr>
                <w:rFonts w:hint="eastAsia"/>
                <w:sz w:val="24"/>
                <w:szCs w:val="24"/>
              </w:rPr>
              <w:t>超声诊断系统功能</w:t>
            </w:r>
          </w:p>
        </w:tc>
        <w:tc>
          <w:tcPr>
            <w:tcW w:w="4483" w:type="dxa"/>
            <w:vAlign w:val="center"/>
          </w:tcPr>
          <w:p>
            <w:pPr>
              <w:jc w:val="both"/>
              <w:rPr>
                <w:sz w:val="24"/>
                <w:szCs w:val="24"/>
                <w:vertAlign w:val="baseline"/>
              </w:rPr>
            </w:pPr>
            <w:r>
              <w:rPr>
                <w:rFonts w:hint="eastAsia"/>
                <w:sz w:val="24"/>
                <w:szCs w:val="24"/>
              </w:rPr>
              <w:t>超声诊断统软件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1543" w:type="dxa"/>
            <w:vAlign w:val="center"/>
          </w:tcPr>
          <w:p>
            <w:pPr>
              <w:jc w:val="both"/>
              <w:rPr>
                <w:sz w:val="24"/>
                <w:szCs w:val="24"/>
                <w:vertAlign w:val="baseline"/>
              </w:rPr>
            </w:pPr>
            <w:r>
              <w:rPr>
                <w:rFonts w:hint="eastAsia"/>
                <w:sz w:val="24"/>
                <w:szCs w:val="24"/>
              </w:rPr>
              <w:t>＊3.2</w:t>
            </w:r>
          </w:p>
        </w:tc>
        <w:tc>
          <w:tcPr>
            <w:tcW w:w="2496" w:type="dxa"/>
            <w:vAlign w:val="center"/>
          </w:tcPr>
          <w:p>
            <w:pPr>
              <w:jc w:val="both"/>
              <w:rPr>
                <w:sz w:val="24"/>
                <w:szCs w:val="24"/>
                <w:vertAlign w:val="baseline"/>
              </w:rPr>
            </w:pPr>
            <w:r>
              <w:rPr>
                <w:rFonts w:hint="eastAsia"/>
                <w:sz w:val="24"/>
                <w:szCs w:val="24"/>
              </w:rPr>
              <w:t>二维影像功能</w:t>
            </w:r>
          </w:p>
        </w:tc>
        <w:tc>
          <w:tcPr>
            <w:tcW w:w="4483" w:type="dxa"/>
            <w:vAlign w:val="center"/>
          </w:tcPr>
          <w:p>
            <w:pPr>
              <w:rPr>
                <w:sz w:val="24"/>
                <w:szCs w:val="24"/>
                <w:vertAlign w:val="baseline"/>
              </w:rPr>
            </w:pPr>
            <w:r>
              <w:rPr>
                <w:rFonts w:hint="eastAsia"/>
                <w:sz w:val="24"/>
                <w:szCs w:val="24"/>
              </w:rPr>
              <w:t>二维超声影像功能评估肝脏组织形态变化；可用于人体腹部的超声诊断。提供注册证证明。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sz w:val="24"/>
                <w:szCs w:val="24"/>
                <w:vertAlign w:val="baseline"/>
              </w:rPr>
            </w:pPr>
            <w:r>
              <w:rPr>
                <w:rFonts w:hint="eastAsia"/>
                <w:sz w:val="24"/>
                <w:szCs w:val="24"/>
              </w:rPr>
              <w:t>3.3</w:t>
            </w:r>
          </w:p>
        </w:tc>
        <w:tc>
          <w:tcPr>
            <w:tcW w:w="2496" w:type="dxa"/>
            <w:vAlign w:val="center"/>
          </w:tcPr>
          <w:p>
            <w:pPr>
              <w:jc w:val="both"/>
              <w:rPr>
                <w:sz w:val="24"/>
                <w:szCs w:val="24"/>
                <w:vertAlign w:val="baseline"/>
              </w:rPr>
            </w:pPr>
            <w:r>
              <w:rPr>
                <w:rFonts w:hint="eastAsia"/>
                <w:sz w:val="24"/>
                <w:szCs w:val="24"/>
              </w:rPr>
              <w:t>显示模式</w:t>
            </w:r>
          </w:p>
        </w:tc>
        <w:tc>
          <w:tcPr>
            <w:tcW w:w="4483" w:type="dxa"/>
            <w:vAlign w:val="center"/>
          </w:tcPr>
          <w:p>
            <w:pPr>
              <w:jc w:val="both"/>
              <w:rPr>
                <w:sz w:val="24"/>
                <w:szCs w:val="24"/>
                <w:vertAlign w:val="baseline"/>
              </w:rPr>
            </w:pPr>
            <w:r>
              <w:rPr>
                <w:rFonts w:hint="eastAsia"/>
                <w:sz w:val="24"/>
                <w:szCs w:val="24"/>
              </w:rPr>
              <w:t>A/M/E；B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sz w:val="24"/>
                <w:szCs w:val="24"/>
                <w:vertAlign w:val="baseline"/>
              </w:rPr>
            </w:pPr>
            <w:r>
              <w:rPr>
                <w:rFonts w:hint="eastAsia"/>
                <w:sz w:val="24"/>
                <w:szCs w:val="24"/>
              </w:rPr>
              <w:t>3.4</w:t>
            </w:r>
          </w:p>
        </w:tc>
        <w:tc>
          <w:tcPr>
            <w:tcW w:w="2496" w:type="dxa"/>
            <w:vAlign w:val="center"/>
          </w:tcPr>
          <w:p>
            <w:pPr>
              <w:jc w:val="both"/>
              <w:rPr>
                <w:sz w:val="24"/>
                <w:szCs w:val="24"/>
                <w:vertAlign w:val="baseline"/>
              </w:rPr>
            </w:pPr>
            <w:r>
              <w:rPr>
                <w:rFonts w:hint="eastAsia"/>
                <w:sz w:val="24"/>
                <w:szCs w:val="24"/>
              </w:rPr>
              <w:t>数据库</w:t>
            </w:r>
          </w:p>
        </w:tc>
        <w:tc>
          <w:tcPr>
            <w:tcW w:w="4483" w:type="dxa"/>
            <w:vAlign w:val="center"/>
          </w:tcPr>
          <w:p>
            <w:pPr>
              <w:jc w:val="both"/>
              <w:rPr>
                <w:sz w:val="24"/>
                <w:szCs w:val="24"/>
                <w:vertAlign w:val="baseline"/>
              </w:rPr>
            </w:pPr>
            <w:r>
              <w:rPr>
                <w:rFonts w:hint="eastAsia"/>
                <w:sz w:val="24"/>
                <w:szCs w:val="24"/>
              </w:rPr>
              <w:t>患者信息数据库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543" w:type="dxa"/>
            <w:vAlign w:val="center"/>
          </w:tcPr>
          <w:p>
            <w:pPr>
              <w:jc w:val="both"/>
              <w:rPr>
                <w:sz w:val="24"/>
                <w:szCs w:val="24"/>
                <w:vertAlign w:val="baseline"/>
              </w:rPr>
            </w:pPr>
            <w:r>
              <w:rPr>
                <w:rFonts w:hint="eastAsia"/>
                <w:sz w:val="24"/>
                <w:szCs w:val="24"/>
              </w:rPr>
              <w:t>3.5</w:t>
            </w:r>
          </w:p>
        </w:tc>
        <w:tc>
          <w:tcPr>
            <w:tcW w:w="2496" w:type="dxa"/>
            <w:vAlign w:val="center"/>
          </w:tcPr>
          <w:p>
            <w:pPr>
              <w:jc w:val="both"/>
              <w:rPr>
                <w:sz w:val="24"/>
                <w:szCs w:val="24"/>
                <w:vertAlign w:val="baseline"/>
              </w:rPr>
            </w:pPr>
            <w:r>
              <w:rPr>
                <w:rFonts w:hint="eastAsia"/>
                <w:sz w:val="24"/>
                <w:szCs w:val="24"/>
              </w:rPr>
              <w:t>图像存储功能</w:t>
            </w:r>
          </w:p>
        </w:tc>
        <w:tc>
          <w:tcPr>
            <w:tcW w:w="4483" w:type="dxa"/>
            <w:vAlign w:val="center"/>
          </w:tcPr>
          <w:p>
            <w:pPr>
              <w:jc w:val="both"/>
              <w:rPr>
                <w:sz w:val="24"/>
                <w:szCs w:val="24"/>
                <w:vertAlign w:val="baseline"/>
              </w:rPr>
            </w:pPr>
            <w:r>
              <w:rPr>
                <w:rFonts w:hint="eastAsia"/>
                <w:sz w:val="24"/>
                <w:szCs w:val="24"/>
              </w:rPr>
              <w:t>快速存储至本地硬盘；通过USB接口快速存储至外接存储器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43" w:type="dxa"/>
            <w:vAlign w:val="center"/>
          </w:tcPr>
          <w:p>
            <w:pPr>
              <w:jc w:val="both"/>
              <w:rPr>
                <w:sz w:val="24"/>
                <w:szCs w:val="24"/>
                <w:vertAlign w:val="baseline"/>
              </w:rPr>
            </w:pPr>
            <w:r>
              <w:rPr>
                <w:rFonts w:hint="eastAsia"/>
                <w:sz w:val="24"/>
                <w:szCs w:val="24"/>
              </w:rPr>
              <w:t>3.6</w:t>
            </w:r>
          </w:p>
        </w:tc>
        <w:tc>
          <w:tcPr>
            <w:tcW w:w="2496" w:type="dxa"/>
            <w:vAlign w:val="center"/>
          </w:tcPr>
          <w:p>
            <w:pPr>
              <w:jc w:val="both"/>
              <w:rPr>
                <w:sz w:val="24"/>
                <w:szCs w:val="24"/>
                <w:vertAlign w:val="baseline"/>
              </w:rPr>
            </w:pPr>
            <w:r>
              <w:rPr>
                <w:rFonts w:hint="eastAsia"/>
                <w:sz w:val="24"/>
                <w:szCs w:val="24"/>
              </w:rPr>
              <w:t>打印功能</w:t>
            </w:r>
          </w:p>
        </w:tc>
        <w:tc>
          <w:tcPr>
            <w:tcW w:w="4483" w:type="dxa"/>
            <w:vAlign w:val="center"/>
          </w:tcPr>
          <w:p>
            <w:pPr>
              <w:jc w:val="both"/>
              <w:rPr>
                <w:sz w:val="24"/>
                <w:szCs w:val="24"/>
                <w:vertAlign w:val="baseline"/>
              </w:rPr>
            </w:pPr>
            <w:r>
              <w:rPr>
                <w:rFonts w:hint="eastAsia"/>
                <w:sz w:val="24"/>
                <w:szCs w:val="24"/>
              </w:rPr>
              <w:t>黑白和彩色打印机快速打印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543" w:type="dxa"/>
            <w:vAlign w:val="center"/>
          </w:tcPr>
          <w:p>
            <w:pPr>
              <w:jc w:val="both"/>
              <w:rPr>
                <w:rFonts w:hint="default" w:eastAsiaTheme="minorEastAsia"/>
                <w:sz w:val="24"/>
                <w:szCs w:val="24"/>
                <w:vertAlign w:val="baseline"/>
                <w:lang w:val="en-US" w:eastAsia="zh-CN"/>
              </w:rPr>
            </w:pPr>
            <w:r>
              <w:rPr>
                <w:rFonts w:hint="eastAsia"/>
                <w:sz w:val="24"/>
                <w:szCs w:val="24"/>
                <w:vertAlign w:val="baseline"/>
                <w:lang w:val="en-US" w:eastAsia="zh-CN"/>
              </w:rPr>
              <w:t>3.7</w:t>
            </w:r>
          </w:p>
        </w:tc>
        <w:tc>
          <w:tcPr>
            <w:tcW w:w="2496" w:type="dxa"/>
            <w:vAlign w:val="center"/>
          </w:tcPr>
          <w:p>
            <w:pPr>
              <w:jc w:val="both"/>
              <w:rPr>
                <w:sz w:val="24"/>
                <w:szCs w:val="24"/>
                <w:vertAlign w:val="baseline"/>
              </w:rPr>
            </w:pPr>
            <w:r>
              <w:rPr>
                <w:rFonts w:hint="eastAsia"/>
                <w:sz w:val="24"/>
                <w:szCs w:val="24"/>
              </w:rPr>
              <w:t>信息传输编辑软件对接模块</w:t>
            </w:r>
          </w:p>
        </w:tc>
        <w:tc>
          <w:tcPr>
            <w:tcW w:w="4483" w:type="dxa"/>
            <w:vAlign w:val="center"/>
          </w:tcPr>
          <w:p>
            <w:pPr>
              <w:jc w:val="both"/>
              <w:rPr>
                <w:sz w:val="24"/>
                <w:szCs w:val="24"/>
                <w:vertAlign w:val="baseline"/>
              </w:rPr>
            </w:pPr>
            <w:r>
              <w:rPr>
                <w:rFonts w:hint="eastAsia"/>
                <w:sz w:val="24"/>
                <w:szCs w:val="24"/>
              </w:rPr>
              <w:t>实现信息传输编辑软件与医院信息系统的对接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543" w:type="dxa"/>
            <w:vAlign w:val="center"/>
          </w:tcPr>
          <w:p>
            <w:pPr>
              <w:jc w:val="both"/>
              <w:rPr>
                <w:rFonts w:hint="default" w:eastAsiaTheme="minorEastAsia"/>
                <w:sz w:val="24"/>
                <w:szCs w:val="24"/>
                <w:vertAlign w:val="baseline"/>
                <w:lang w:val="en-US" w:eastAsia="zh-CN"/>
              </w:rPr>
            </w:pPr>
            <w:r>
              <w:rPr>
                <w:rFonts w:hint="eastAsia"/>
                <w:sz w:val="24"/>
                <w:szCs w:val="24"/>
                <w:vertAlign w:val="baseline"/>
                <w:lang w:val="en-US" w:eastAsia="zh-CN"/>
              </w:rPr>
              <w:t>3.8</w:t>
            </w:r>
          </w:p>
        </w:tc>
        <w:tc>
          <w:tcPr>
            <w:tcW w:w="2496" w:type="dxa"/>
            <w:vAlign w:val="center"/>
          </w:tcPr>
          <w:p>
            <w:pPr>
              <w:jc w:val="both"/>
              <w:rPr>
                <w:sz w:val="24"/>
                <w:szCs w:val="24"/>
                <w:vertAlign w:val="baseline"/>
              </w:rPr>
            </w:pPr>
            <w:r>
              <w:rPr>
                <w:rFonts w:hint="eastAsia"/>
                <w:sz w:val="24"/>
                <w:szCs w:val="24"/>
              </w:rPr>
              <w:t>信息接口对接软件模块</w:t>
            </w:r>
          </w:p>
        </w:tc>
        <w:tc>
          <w:tcPr>
            <w:tcW w:w="4483" w:type="dxa"/>
            <w:vAlign w:val="center"/>
          </w:tcPr>
          <w:p>
            <w:pPr>
              <w:jc w:val="both"/>
              <w:rPr>
                <w:sz w:val="24"/>
                <w:szCs w:val="24"/>
                <w:vertAlign w:val="baseline"/>
              </w:rPr>
            </w:pPr>
            <w:r>
              <w:rPr>
                <w:rFonts w:hint="eastAsia"/>
                <w:sz w:val="24"/>
                <w:szCs w:val="24"/>
              </w:rPr>
              <w:t>可选配DICOM网络接口-协议数据对接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rFonts w:hint="default" w:eastAsiaTheme="minorEastAsia"/>
                <w:sz w:val="24"/>
                <w:szCs w:val="24"/>
                <w:vertAlign w:val="baseline"/>
                <w:lang w:val="en-US" w:eastAsia="zh-CN"/>
              </w:rPr>
            </w:pPr>
            <w:r>
              <w:rPr>
                <w:rFonts w:hint="eastAsia"/>
                <w:sz w:val="24"/>
                <w:szCs w:val="24"/>
                <w:vertAlign w:val="baseline"/>
                <w:lang w:val="en-US" w:eastAsia="zh-CN"/>
              </w:rPr>
              <w:t>3.9</w:t>
            </w:r>
          </w:p>
        </w:tc>
        <w:tc>
          <w:tcPr>
            <w:tcW w:w="2496" w:type="dxa"/>
            <w:vAlign w:val="center"/>
          </w:tcPr>
          <w:p>
            <w:pPr>
              <w:jc w:val="both"/>
              <w:rPr>
                <w:sz w:val="24"/>
                <w:szCs w:val="24"/>
                <w:vertAlign w:val="baseline"/>
              </w:rPr>
            </w:pPr>
            <w:r>
              <w:rPr>
                <w:rFonts w:hint="eastAsia"/>
                <w:sz w:val="24"/>
                <w:szCs w:val="24"/>
              </w:rPr>
              <w:t>系统自动诊断功能</w:t>
            </w:r>
          </w:p>
        </w:tc>
        <w:tc>
          <w:tcPr>
            <w:tcW w:w="4483" w:type="dxa"/>
            <w:vAlign w:val="center"/>
          </w:tcPr>
          <w:p>
            <w:pPr>
              <w:jc w:val="both"/>
              <w:rPr>
                <w:sz w:val="24"/>
                <w:szCs w:val="24"/>
                <w:vertAlign w:val="baseline"/>
              </w:rPr>
            </w:pPr>
            <w:r>
              <w:rPr>
                <w:rFonts w:hint="eastAsia"/>
                <w:sz w:val="24"/>
                <w:szCs w:val="24"/>
              </w:rPr>
              <w:t>具有系统自动诊断功能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rFonts w:hint="default" w:eastAsiaTheme="minorEastAsia"/>
                <w:sz w:val="24"/>
                <w:szCs w:val="24"/>
                <w:vertAlign w:val="baseline"/>
                <w:lang w:val="en-US" w:eastAsia="zh-CN"/>
              </w:rPr>
            </w:pPr>
            <w:r>
              <w:rPr>
                <w:rFonts w:hint="eastAsia"/>
                <w:sz w:val="24"/>
                <w:szCs w:val="24"/>
                <w:vertAlign w:val="baseline"/>
                <w:lang w:val="en-US" w:eastAsia="zh-CN"/>
              </w:rPr>
              <w:t>3.10</w:t>
            </w:r>
          </w:p>
        </w:tc>
        <w:tc>
          <w:tcPr>
            <w:tcW w:w="2496" w:type="dxa"/>
            <w:vAlign w:val="center"/>
          </w:tcPr>
          <w:p>
            <w:pPr>
              <w:jc w:val="both"/>
              <w:rPr>
                <w:sz w:val="24"/>
                <w:szCs w:val="24"/>
                <w:vertAlign w:val="baseline"/>
              </w:rPr>
            </w:pPr>
            <w:r>
              <w:rPr>
                <w:rFonts w:hint="eastAsia"/>
                <w:sz w:val="24"/>
                <w:szCs w:val="24"/>
              </w:rPr>
              <w:t>快捷查询功能</w:t>
            </w:r>
          </w:p>
        </w:tc>
        <w:tc>
          <w:tcPr>
            <w:tcW w:w="4483" w:type="dxa"/>
            <w:vAlign w:val="center"/>
          </w:tcPr>
          <w:p>
            <w:pPr>
              <w:jc w:val="both"/>
              <w:rPr>
                <w:sz w:val="24"/>
                <w:szCs w:val="24"/>
                <w:vertAlign w:val="baseline"/>
              </w:rPr>
            </w:pPr>
            <w:r>
              <w:rPr>
                <w:rFonts w:hint="eastAsia"/>
                <w:sz w:val="24"/>
                <w:szCs w:val="24"/>
              </w:rPr>
              <w:t>具有快捷查询功能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rFonts w:hint="default" w:eastAsiaTheme="minorEastAsia"/>
                <w:sz w:val="24"/>
                <w:szCs w:val="24"/>
                <w:vertAlign w:val="baseline"/>
                <w:lang w:val="en-US" w:eastAsia="zh-CN"/>
              </w:rPr>
            </w:pPr>
            <w:r>
              <w:rPr>
                <w:rFonts w:hint="eastAsia"/>
                <w:sz w:val="24"/>
                <w:szCs w:val="24"/>
                <w:vertAlign w:val="baseline"/>
                <w:lang w:val="en-US" w:eastAsia="zh-CN"/>
              </w:rPr>
              <w:t>3.11</w:t>
            </w:r>
          </w:p>
        </w:tc>
        <w:tc>
          <w:tcPr>
            <w:tcW w:w="2496" w:type="dxa"/>
            <w:vAlign w:val="center"/>
          </w:tcPr>
          <w:p>
            <w:pPr>
              <w:jc w:val="both"/>
              <w:rPr>
                <w:sz w:val="24"/>
                <w:szCs w:val="24"/>
                <w:vertAlign w:val="baseline"/>
              </w:rPr>
            </w:pPr>
            <w:r>
              <w:rPr>
                <w:rFonts w:hint="eastAsia"/>
                <w:sz w:val="24"/>
                <w:szCs w:val="24"/>
              </w:rPr>
              <w:t>高级检索功能</w:t>
            </w:r>
          </w:p>
        </w:tc>
        <w:tc>
          <w:tcPr>
            <w:tcW w:w="4483" w:type="dxa"/>
            <w:vAlign w:val="center"/>
          </w:tcPr>
          <w:p>
            <w:pPr>
              <w:jc w:val="both"/>
              <w:rPr>
                <w:sz w:val="24"/>
                <w:szCs w:val="24"/>
                <w:vertAlign w:val="baseline"/>
              </w:rPr>
            </w:pPr>
            <w:r>
              <w:rPr>
                <w:rFonts w:hint="eastAsia"/>
                <w:sz w:val="24"/>
                <w:szCs w:val="24"/>
              </w:rPr>
              <w:t>具有高级检索功能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3.12</w:t>
            </w:r>
          </w:p>
        </w:tc>
        <w:tc>
          <w:tcPr>
            <w:tcW w:w="2496" w:type="dxa"/>
            <w:vAlign w:val="center"/>
          </w:tcPr>
          <w:p>
            <w:pPr>
              <w:jc w:val="both"/>
              <w:rPr>
                <w:sz w:val="24"/>
                <w:szCs w:val="24"/>
                <w:vertAlign w:val="baseline"/>
              </w:rPr>
            </w:pPr>
            <w:r>
              <w:rPr>
                <w:rFonts w:hint="eastAsia"/>
                <w:sz w:val="24"/>
                <w:szCs w:val="24"/>
              </w:rPr>
              <w:t>智能清理功能</w:t>
            </w:r>
          </w:p>
        </w:tc>
        <w:tc>
          <w:tcPr>
            <w:tcW w:w="4483" w:type="dxa"/>
            <w:vAlign w:val="center"/>
          </w:tcPr>
          <w:p>
            <w:pPr>
              <w:jc w:val="both"/>
              <w:rPr>
                <w:sz w:val="24"/>
                <w:szCs w:val="24"/>
                <w:vertAlign w:val="baseline"/>
              </w:rPr>
            </w:pPr>
            <w:r>
              <w:rPr>
                <w:rFonts w:hint="eastAsia"/>
                <w:sz w:val="24"/>
                <w:szCs w:val="24"/>
              </w:rPr>
              <w:t>具有智能清理功能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3.13</w:t>
            </w:r>
          </w:p>
        </w:tc>
        <w:tc>
          <w:tcPr>
            <w:tcW w:w="2496" w:type="dxa"/>
            <w:vAlign w:val="center"/>
          </w:tcPr>
          <w:p>
            <w:pPr>
              <w:jc w:val="both"/>
              <w:rPr>
                <w:sz w:val="24"/>
                <w:szCs w:val="24"/>
                <w:vertAlign w:val="baseline"/>
              </w:rPr>
            </w:pPr>
            <w:r>
              <w:rPr>
                <w:rFonts w:hint="eastAsia"/>
                <w:sz w:val="24"/>
                <w:szCs w:val="24"/>
              </w:rPr>
              <w:t>压缩存储功能</w:t>
            </w:r>
          </w:p>
        </w:tc>
        <w:tc>
          <w:tcPr>
            <w:tcW w:w="4483" w:type="dxa"/>
            <w:vAlign w:val="center"/>
          </w:tcPr>
          <w:p>
            <w:pPr>
              <w:jc w:val="both"/>
              <w:rPr>
                <w:sz w:val="24"/>
                <w:szCs w:val="24"/>
                <w:vertAlign w:val="baseline"/>
              </w:rPr>
            </w:pPr>
            <w:r>
              <w:rPr>
                <w:rFonts w:hint="eastAsia"/>
                <w:sz w:val="24"/>
                <w:szCs w:val="24"/>
              </w:rPr>
              <w:t>具有高级压缩存储功能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3.14</w:t>
            </w:r>
          </w:p>
        </w:tc>
        <w:tc>
          <w:tcPr>
            <w:tcW w:w="2496" w:type="dxa"/>
            <w:vAlign w:val="center"/>
          </w:tcPr>
          <w:p>
            <w:pPr>
              <w:jc w:val="both"/>
              <w:rPr>
                <w:sz w:val="24"/>
                <w:szCs w:val="24"/>
                <w:vertAlign w:val="baseline"/>
              </w:rPr>
            </w:pPr>
            <w:r>
              <w:rPr>
                <w:rFonts w:hint="eastAsia"/>
                <w:sz w:val="24"/>
                <w:szCs w:val="24"/>
              </w:rPr>
              <w:t>Http&amp;JSON功能</w:t>
            </w:r>
          </w:p>
        </w:tc>
        <w:tc>
          <w:tcPr>
            <w:tcW w:w="4483" w:type="dxa"/>
            <w:vAlign w:val="center"/>
          </w:tcPr>
          <w:p>
            <w:pPr>
              <w:jc w:val="both"/>
              <w:rPr>
                <w:sz w:val="24"/>
                <w:szCs w:val="24"/>
                <w:vertAlign w:val="baseline"/>
              </w:rPr>
            </w:pPr>
            <w:r>
              <w:rPr>
                <w:rFonts w:hint="eastAsia"/>
                <w:sz w:val="24"/>
                <w:szCs w:val="24"/>
              </w:rPr>
              <w:t>支持Http&amp;JSON功能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543"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3.15</w:t>
            </w:r>
          </w:p>
        </w:tc>
        <w:tc>
          <w:tcPr>
            <w:tcW w:w="2496" w:type="dxa"/>
            <w:vAlign w:val="center"/>
          </w:tcPr>
          <w:p>
            <w:pPr>
              <w:jc w:val="both"/>
              <w:rPr>
                <w:sz w:val="24"/>
                <w:szCs w:val="24"/>
                <w:vertAlign w:val="baseline"/>
              </w:rPr>
            </w:pPr>
            <w:r>
              <w:rPr>
                <w:rFonts w:hint="eastAsia"/>
                <w:sz w:val="24"/>
                <w:szCs w:val="24"/>
              </w:rPr>
              <w:t>远程功能</w:t>
            </w:r>
          </w:p>
        </w:tc>
        <w:tc>
          <w:tcPr>
            <w:tcW w:w="4483" w:type="dxa"/>
            <w:vAlign w:val="center"/>
          </w:tcPr>
          <w:p>
            <w:pPr>
              <w:rPr>
                <w:sz w:val="24"/>
                <w:szCs w:val="24"/>
                <w:vertAlign w:val="baseline"/>
              </w:rPr>
            </w:pPr>
            <w:r>
              <w:rPr>
                <w:rFonts w:hint="eastAsia"/>
                <w:sz w:val="24"/>
                <w:szCs w:val="24"/>
              </w:rPr>
              <w:t>具有远程功能，能够实现远程对设备状况进行检测、维护、升级等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rFonts w:hint="eastAsia"/>
                <w:sz w:val="24"/>
                <w:szCs w:val="24"/>
                <w:vertAlign w:val="baseline"/>
                <w:lang w:val="en-US" w:eastAsia="zh-CN"/>
              </w:rPr>
            </w:pPr>
            <w:r>
              <w:rPr>
                <w:rFonts w:hint="eastAsia"/>
                <w:sz w:val="24"/>
                <w:szCs w:val="24"/>
              </w:rPr>
              <w:t>＊4</w:t>
            </w:r>
          </w:p>
        </w:tc>
        <w:tc>
          <w:tcPr>
            <w:tcW w:w="6979" w:type="dxa"/>
            <w:gridSpan w:val="2"/>
            <w:vAlign w:val="center"/>
          </w:tcPr>
          <w:p>
            <w:pPr>
              <w:jc w:val="both"/>
              <w:rPr>
                <w:sz w:val="24"/>
                <w:szCs w:val="24"/>
                <w:vertAlign w:val="baseline"/>
              </w:rPr>
            </w:pPr>
            <w:r>
              <w:rPr>
                <w:rFonts w:hint="eastAsia"/>
                <w:sz w:val="24"/>
                <w:szCs w:val="24"/>
              </w:rPr>
              <w:t>影像探头（供二维影像检查）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4.1</w:t>
            </w:r>
          </w:p>
        </w:tc>
        <w:tc>
          <w:tcPr>
            <w:tcW w:w="2496" w:type="dxa"/>
            <w:vAlign w:val="center"/>
          </w:tcPr>
          <w:p>
            <w:pPr>
              <w:jc w:val="both"/>
              <w:rPr>
                <w:sz w:val="24"/>
                <w:szCs w:val="24"/>
                <w:vertAlign w:val="baseline"/>
              </w:rPr>
            </w:pPr>
            <w:r>
              <w:rPr>
                <w:rFonts w:hint="eastAsia"/>
                <w:sz w:val="24"/>
                <w:szCs w:val="24"/>
              </w:rPr>
              <w:t>影像引导探头数量</w:t>
            </w:r>
          </w:p>
        </w:tc>
        <w:tc>
          <w:tcPr>
            <w:tcW w:w="4483" w:type="dxa"/>
            <w:vAlign w:val="center"/>
          </w:tcPr>
          <w:p>
            <w:pPr>
              <w:jc w:val="both"/>
              <w:rPr>
                <w:sz w:val="24"/>
                <w:szCs w:val="24"/>
                <w:vertAlign w:val="baseline"/>
              </w:rPr>
            </w:pPr>
            <w:r>
              <w:rPr>
                <w:rFonts w:hint="eastAsia"/>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4.2</w:t>
            </w:r>
          </w:p>
        </w:tc>
        <w:tc>
          <w:tcPr>
            <w:tcW w:w="2496" w:type="dxa"/>
            <w:vAlign w:val="center"/>
          </w:tcPr>
          <w:p>
            <w:pPr>
              <w:jc w:val="both"/>
              <w:rPr>
                <w:sz w:val="24"/>
                <w:szCs w:val="24"/>
                <w:vertAlign w:val="baseline"/>
              </w:rPr>
            </w:pPr>
            <w:r>
              <w:rPr>
                <w:rFonts w:hint="eastAsia"/>
                <w:sz w:val="24"/>
                <w:szCs w:val="24"/>
              </w:rPr>
              <w:t>影像探头类型</w:t>
            </w:r>
          </w:p>
        </w:tc>
        <w:tc>
          <w:tcPr>
            <w:tcW w:w="4483" w:type="dxa"/>
            <w:vAlign w:val="center"/>
          </w:tcPr>
          <w:p>
            <w:pPr>
              <w:jc w:val="both"/>
              <w:rPr>
                <w:sz w:val="24"/>
                <w:szCs w:val="24"/>
                <w:vertAlign w:val="baseline"/>
              </w:rPr>
            </w:pPr>
            <w:r>
              <w:rPr>
                <w:rFonts w:hint="eastAsia"/>
                <w:sz w:val="24"/>
                <w:szCs w:val="24"/>
              </w:rPr>
              <w:t>腹部影像探头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4.3</w:t>
            </w:r>
          </w:p>
        </w:tc>
        <w:tc>
          <w:tcPr>
            <w:tcW w:w="2496" w:type="dxa"/>
            <w:vAlign w:val="center"/>
          </w:tcPr>
          <w:p>
            <w:pPr>
              <w:jc w:val="both"/>
              <w:rPr>
                <w:sz w:val="24"/>
                <w:szCs w:val="24"/>
                <w:vertAlign w:val="baseline"/>
              </w:rPr>
            </w:pPr>
            <w:r>
              <w:rPr>
                <w:rFonts w:hint="eastAsia"/>
                <w:sz w:val="24"/>
                <w:szCs w:val="24"/>
              </w:rPr>
              <w:t>声工作频率</w:t>
            </w:r>
          </w:p>
        </w:tc>
        <w:tc>
          <w:tcPr>
            <w:tcW w:w="4483" w:type="dxa"/>
            <w:vAlign w:val="center"/>
          </w:tcPr>
          <w:p>
            <w:pPr>
              <w:jc w:val="both"/>
              <w:rPr>
                <w:sz w:val="24"/>
                <w:szCs w:val="24"/>
                <w:vertAlign w:val="baseline"/>
              </w:rPr>
            </w:pPr>
            <w:r>
              <w:rPr>
                <w:rFonts w:hint="eastAsia"/>
                <w:sz w:val="24"/>
                <w:szCs w:val="24"/>
              </w:rPr>
              <w:t>3.5MHz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543"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4.4</w:t>
            </w:r>
          </w:p>
        </w:tc>
        <w:tc>
          <w:tcPr>
            <w:tcW w:w="2496" w:type="dxa"/>
            <w:vAlign w:val="center"/>
          </w:tcPr>
          <w:p>
            <w:pPr>
              <w:jc w:val="both"/>
              <w:rPr>
                <w:sz w:val="24"/>
                <w:szCs w:val="24"/>
                <w:vertAlign w:val="baseline"/>
              </w:rPr>
            </w:pPr>
            <w:r>
              <w:rPr>
                <w:rFonts w:hint="eastAsia"/>
                <w:sz w:val="24"/>
                <w:szCs w:val="24"/>
              </w:rPr>
              <w:t>侧向分辨率</w:t>
            </w:r>
          </w:p>
        </w:tc>
        <w:tc>
          <w:tcPr>
            <w:tcW w:w="4483" w:type="dxa"/>
            <w:vAlign w:val="center"/>
          </w:tcPr>
          <w:p>
            <w:pPr>
              <w:jc w:val="both"/>
              <w:rPr>
                <w:rFonts w:hint="eastAsia"/>
                <w:sz w:val="24"/>
                <w:szCs w:val="24"/>
              </w:rPr>
            </w:pPr>
            <w:r>
              <w:rPr>
                <w:rFonts w:hint="eastAsia"/>
                <w:sz w:val="24"/>
                <w:szCs w:val="24"/>
              </w:rPr>
              <w:t>3.5MHz：≤3mm（深度≤80mm）；</w:t>
            </w:r>
          </w:p>
          <w:p>
            <w:pPr>
              <w:jc w:val="both"/>
              <w:rPr>
                <w:sz w:val="24"/>
                <w:szCs w:val="24"/>
                <w:vertAlign w:val="baseline"/>
              </w:rPr>
            </w:pPr>
            <w:r>
              <w:rPr>
                <w:rFonts w:hint="eastAsia"/>
                <w:sz w:val="24"/>
                <w:szCs w:val="24"/>
              </w:rPr>
              <w:t xml:space="preserve">≤4mm（80mm＜深度≤130mm）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4.5</w:t>
            </w:r>
          </w:p>
        </w:tc>
        <w:tc>
          <w:tcPr>
            <w:tcW w:w="2496" w:type="dxa"/>
            <w:vAlign w:val="center"/>
          </w:tcPr>
          <w:p>
            <w:pPr>
              <w:jc w:val="both"/>
              <w:rPr>
                <w:sz w:val="24"/>
                <w:szCs w:val="24"/>
                <w:vertAlign w:val="baseline"/>
              </w:rPr>
            </w:pPr>
            <w:r>
              <w:rPr>
                <w:rFonts w:hint="eastAsia"/>
                <w:sz w:val="24"/>
                <w:szCs w:val="24"/>
              </w:rPr>
              <w:t>轴向分辨率</w:t>
            </w:r>
          </w:p>
        </w:tc>
        <w:tc>
          <w:tcPr>
            <w:tcW w:w="4483" w:type="dxa"/>
            <w:vAlign w:val="center"/>
          </w:tcPr>
          <w:p>
            <w:pPr>
              <w:jc w:val="both"/>
              <w:rPr>
                <w:sz w:val="24"/>
                <w:szCs w:val="24"/>
                <w:vertAlign w:val="baseline"/>
              </w:rPr>
            </w:pPr>
            <w:r>
              <w:rPr>
                <w:rFonts w:hint="eastAsia"/>
                <w:sz w:val="24"/>
                <w:szCs w:val="24"/>
              </w:rPr>
              <w:t>3.5MHz：≤2mm（深度≤80mm）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4.6</w:t>
            </w:r>
          </w:p>
        </w:tc>
        <w:tc>
          <w:tcPr>
            <w:tcW w:w="2496" w:type="dxa"/>
            <w:vAlign w:val="center"/>
          </w:tcPr>
          <w:p>
            <w:pPr>
              <w:jc w:val="both"/>
              <w:rPr>
                <w:sz w:val="24"/>
                <w:szCs w:val="24"/>
                <w:vertAlign w:val="baseline"/>
              </w:rPr>
            </w:pPr>
            <w:r>
              <w:rPr>
                <w:rFonts w:hint="eastAsia"/>
                <w:sz w:val="24"/>
                <w:szCs w:val="24"/>
              </w:rPr>
              <w:t>盲区</w:t>
            </w:r>
          </w:p>
        </w:tc>
        <w:tc>
          <w:tcPr>
            <w:tcW w:w="4483" w:type="dxa"/>
            <w:vAlign w:val="center"/>
          </w:tcPr>
          <w:p>
            <w:pPr>
              <w:jc w:val="both"/>
              <w:rPr>
                <w:sz w:val="24"/>
                <w:szCs w:val="24"/>
                <w:vertAlign w:val="baseline"/>
              </w:rPr>
            </w:pPr>
            <w:r>
              <w:rPr>
                <w:rFonts w:hint="eastAsia"/>
                <w:sz w:val="24"/>
                <w:szCs w:val="24"/>
              </w:rPr>
              <w:t>≤5mm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4.7</w:t>
            </w:r>
          </w:p>
        </w:tc>
        <w:tc>
          <w:tcPr>
            <w:tcW w:w="2496" w:type="dxa"/>
            <w:vAlign w:val="center"/>
          </w:tcPr>
          <w:p>
            <w:pPr>
              <w:jc w:val="both"/>
              <w:rPr>
                <w:sz w:val="24"/>
                <w:szCs w:val="24"/>
                <w:vertAlign w:val="baseline"/>
              </w:rPr>
            </w:pPr>
            <w:r>
              <w:rPr>
                <w:rFonts w:hint="eastAsia"/>
                <w:sz w:val="24"/>
                <w:szCs w:val="24"/>
              </w:rPr>
              <w:t>检测深度</w:t>
            </w:r>
          </w:p>
        </w:tc>
        <w:tc>
          <w:tcPr>
            <w:tcW w:w="4483" w:type="dxa"/>
            <w:vAlign w:val="center"/>
          </w:tcPr>
          <w:p>
            <w:pPr>
              <w:jc w:val="both"/>
              <w:rPr>
                <w:sz w:val="24"/>
                <w:szCs w:val="24"/>
                <w:vertAlign w:val="baseline"/>
              </w:rPr>
            </w:pPr>
            <w:r>
              <w:rPr>
                <w:rFonts w:hint="eastAsia"/>
                <w:sz w:val="24"/>
                <w:szCs w:val="24"/>
              </w:rPr>
              <w:t>3.5MHz：≥140mm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543" w:type="dxa"/>
            <w:vAlign w:val="center"/>
          </w:tcPr>
          <w:p>
            <w:pPr>
              <w:jc w:val="both"/>
              <w:rPr>
                <w:rFonts w:hint="eastAsia"/>
                <w:sz w:val="24"/>
                <w:szCs w:val="24"/>
                <w:vertAlign w:val="baseline"/>
                <w:lang w:val="en-US" w:eastAsia="zh-CN"/>
              </w:rPr>
            </w:pPr>
            <w:r>
              <w:rPr>
                <w:rFonts w:hint="eastAsia"/>
                <w:sz w:val="24"/>
                <w:szCs w:val="24"/>
              </w:rPr>
              <w:t xml:space="preserve">＊5 </w:t>
            </w:r>
          </w:p>
        </w:tc>
        <w:tc>
          <w:tcPr>
            <w:tcW w:w="2496" w:type="dxa"/>
            <w:vAlign w:val="center"/>
          </w:tcPr>
          <w:p>
            <w:pPr>
              <w:jc w:val="both"/>
              <w:rPr>
                <w:sz w:val="24"/>
                <w:szCs w:val="24"/>
                <w:vertAlign w:val="baseline"/>
              </w:rPr>
            </w:pPr>
            <w:r>
              <w:rPr>
                <w:rFonts w:hint="eastAsia"/>
                <w:sz w:val="24"/>
                <w:szCs w:val="24"/>
              </w:rPr>
              <w:t>纤维扫描探头</w:t>
            </w:r>
          </w:p>
        </w:tc>
        <w:tc>
          <w:tcPr>
            <w:tcW w:w="4483" w:type="dxa"/>
            <w:vAlign w:val="center"/>
          </w:tcPr>
          <w:p>
            <w:pPr>
              <w:jc w:val="both"/>
              <w:rPr>
                <w:sz w:val="24"/>
                <w:szCs w:val="24"/>
                <w:vertAlign w:val="baseline"/>
              </w:rPr>
            </w:pPr>
            <w:r>
              <w:rPr>
                <w:rFonts w:hint="eastAsia"/>
                <w:sz w:val="24"/>
                <w:szCs w:val="24"/>
              </w:rPr>
              <w:t>适用于全人群的纤维化探头，仅应用一个探头即可适用于儿童、普通人群和肥胖人群。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5.1</w:t>
            </w:r>
          </w:p>
        </w:tc>
        <w:tc>
          <w:tcPr>
            <w:tcW w:w="2496" w:type="dxa"/>
            <w:vAlign w:val="center"/>
          </w:tcPr>
          <w:p>
            <w:pPr>
              <w:jc w:val="both"/>
              <w:rPr>
                <w:sz w:val="24"/>
                <w:szCs w:val="24"/>
                <w:vertAlign w:val="baseline"/>
              </w:rPr>
            </w:pPr>
            <w:r>
              <w:rPr>
                <w:rFonts w:hint="eastAsia"/>
                <w:sz w:val="24"/>
                <w:szCs w:val="24"/>
              </w:rPr>
              <w:t>纤维扫描探头数量</w:t>
            </w:r>
          </w:p>
        </w:tc>
        <w:tc>
          <w:tcPr>
            <w:tcW w:w="4483" w:type="dxa"/>
            <w:vAlign w:val="center"/>
          </w:tcPr>
          <w:p>
            <w:pPr>
              <w:jc w:val="both"/>
              <w:rPr>
                <w:sz w:val="24"/>
                <w:szCs w:val="24"/>
                <w:vertAlign w:val="baseline"/>
              </w:rPr>
            </w:pPr>
            <w:r>
              <w:rPr>
                <w:rFonts w:hint="eastAsia"/>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5.2</w:t>
            </w:r>
          </w:p>
        </w:tc>
        <w:tc>
          <w:tcPr>
            <w:tcW w:w="2496" w:type="dxa"/>
            <w:vAlign w:val="center"/>
          </w:tcPr>
          <w:p>
            <w:pPr>
              <w:jc w:val="both"/>
              <w:rPr>
                <w:sz w:val="24"/>
                <w:szCs w:val="24"/>
                <w:vertAlign w:val="baseline"/>
              </w:rPr>
            </w:pPr>
            <w:r>
              <w:rPr>
                <w:rFonts w:hint="eastAsia"/>
                <w:sz w:val="24"/>
                <w:szCs w:val="24"/>
              </w:rPr>
              <w:t>纤维扫描探头</w:t>
            </w:r>
          </w:p>
        </w:tc>
        <w:tc>
          <w:tcPr>
            <w:tcW w:w="4483" w:type="dxa"/>
            <w:vAlign w:val="center"/>
          </w:tcPr>
          <w:p>
            <w:pPr>
              <w:jc w:val="both"/>
              <w:rPr>
                <w:sz w:val="24"/>
                <w:szCs w:val="24"/>
                <w:vertAlign w:val="baseline"/>
              </w:rPr>
            </w:pPr>
            <w:r>
              <w:rPr>
                <w:rFonts w:hint="eastAsia"/>
                <w:sz w:val="24"/>
                <w:szCs w:val="24"/>
              </w:rPr>
              <w:t>融合超声波及剪切波一体化探头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543" w:type="dxa"/>
            <w:vAlign w:val="center"/>
          </w:tcPr>
          <w:p>
            <w:pPr>
              <w:jc w:val="both"/>
              <w:rPr>
                <w:rFonts w:hint="default"/>
                <w:sz w:val="24"/>
                <w:szCs w:val="24"/>
                <w:vertAlign w:val="baseline"/>
                <w:lang w:val="en-US" w:eastAsia="zh-CN"/>
              </w:rPr>
            </w:pPr>
            <w:r>
              <w:rPr>
                <w:rFonts w:hint="eastAsia"/>
                <w:sz w:val="24"/>
                <w:szCs w:val="24"/>
              </w:rPr>
              <w:t>＊5.2.1</w:t>
            </w:r>
          </w:p>
        </w:tc>
        <w:tc>
          <w:tcPr>
            <w:tcW w:w="2496" w:type="dxa"/>
            <w:vAlign w:val="center"/>
          </w:tcPr>
          <w:p>
            <w:pPr>
              <w:jc w:val="both"/>
              <w:rPr>
                <w:sz w:val="24"/>
                <w:szCs w:val="24"/>
                <w:vertAlign w:val="baseline"/>
              </w:rPr>
            </w:pPr>
            <w:r>
              <w:rPr>
                <w:rFonts w:hint="eastAsia"/>
                <w:sz w:val="24"/>
                <w:szCs w:val="24"/>
              </w:rPr>
              <w:t xml:space="preserve">单一纤维化探头超声波频率 </w:t>
            </w:r>
          </w:p>
        </w:tc>
        <w:tc>
          <w:tcPr>
            <w:tcW w:w="4483" w:type="dxa"/>
            <w:vAlign w:val="center"/>
          </w:tcPr>
          <w:p>
            <w:pPr>
              <w:jc w:val="both"/>
              <w:rPr>
                <w:sz w:val="24"/>
                <w:szCs w:val="24"/>
                <w:vertAlign w:val="baseline"/>
              </w:rPr>
            </w:pPr>
            <w:r>
              <w:rPr>
                <w:rFonts w:hint="eastAsia"/>
                <w:sz w:val="24"/>
                <w:szCs w:val="24"/>
              </w:rPr>
              <w:t>需宽频波，频率范围1.5MHz-5.0MHz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rFonts w:hint="default"/>
                <w:sz w:val="24"/>
                <w:szCs w:val="24"/>
                <w:vertAlign w:val="baseline"/>
                <w:lang w:val="en-US" w:eastAsia="zh-CN"/>
              </w:rPr>
            </w:pPr>
            <w:r>
              <w:rPr>
                <w:rFonts w:hint="eastAsia"/>
                <w:sz w:val="24"/>
                <w:szCs w:val="24"/>
              </w:rPr>
              <w:t>▲/＊5.2.2</w:t>
            </w:r>
          </w:p>
        </w:tc>
        <w:tc>
          <w:tcPr>
            <w:tcW w:w="2496" w:type="dxa"/>
            <w:vAlign w:val="center"/>
          </w:tcPr>
          <w:p>
            <w:pPr>
              <w:jc w:val="both"/>
              <w:rPr>
                <w:sz w:val="24"/>
                <w:szCs w:val="24"/>
                <w:vertAlign w:val="baseline"/>
              </w:rPr>
            </w:pPr>
            <w:r>
              <w:rPr>
                <w:rFonts w:hint="eastAsia"/>
                <w:sz w:val="24"/>
                <w:szCs w:val="24"/>
              </w:rPr>
              <w:t>探头前端直径</w:t>
            </w:r>
          </w:p>
        </w:tc>
        <w:tc>
          <w:tcPr>
            <w:tcW w:w="4483" w:type="dxa"/>
            <w:vAlign w:val="center"/>
          </w:tcPr>
          <w:p>
            <w:pPr>
              <w:jc w:val="both"/>
              <w:rPr>
                <w:sz w:val="24"/>
                <w:szCs w:val="24"/>
                <w:vertAlign w:val="baseline"/>
              </w:rPr>
            </w:pPr>
            <w:r>
              <w:rPr>
                <w:rFonts w:hint="eastAsia"/>
                <w:sz w:val="24"/>
                <w:szCs w:val="24"/>
              </w:rPr>
              <w:t>≤8mm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rFonts w:hint="default"/>
                <w:sz w:val="24"/>
                <w:szCs w:val="24"/>
                <w:vertAlign w:val="baseline"/>
                <w:lang w:val="en-US" w:eastAsia="zh-CN"/>
              </w:rPr>
            </w:pPr>
            <w:r>
              <w:rPr>
                <w:rFonts w:hint="eastAsia"/>
                <w:sz w:val="24"/>
                <w:szCs w:val="24"/>
              </w:rPr>
              <w:t>5.3</w:t>
            </w:r>
          </w:p>
        </w:tc>
        <w:tc>
          <w:tcPr>
            <w:tcW w:w="2496" w:type="dxa"/>
            <w:vAlign w:val="center"/>
          </w:tcPr>
          <w:p>
            <w:pPr>
              <w:jc w:val="both"/>
              <w:rPr>
                <w:sz w:val="24"/>
                <w:szCs w:val="24"/>
                <w:vertAlign w:val="baseline"/>
              </w:rPr>
            </w:pPr>
            <w:r>
              <w:rPr>
                <w:rFonts w:hint="eastAsia"/>
                <w:sz w:val="24"/>
                <w:szCs w:val="24"/>
              </w:rPr>
              <w:t>探头中心频率</w:t>
            </w:r>
          </w:p>
        </w:tc>
        <w:tc>
          <w:tcPr>
            <w:tcW w:w="4483" w:type="dxa"/>
            <w:vAlign w:val="center"/>
          </w:tcPr>
          <w:p>
            <w:pPr>
              <w:jc w:val="both"/>
              <w:rPr>
                <w:sz w:val="24"/>
                <w:szCs w:val="24"/>
                <w:vertAlign w:val="baseline"/>
              </w:rPr>
            </w:pPr>
            <w:r>
              <w:rPr>
                <w:rFonts w:hint="eastAsia"/>
                <w:sz w:val="24"/>
                <w:szCs w:val="24"/>
              </w:rPr>
              <w:t>2.5MHz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43" w:type="dxa"/>
            <w:vAlign w:val="center"/>
          </w:tcPr>
          <w:p>
            <w:pPr>
              <w:jc w:val="both"/>
              <w:rPr>
                <w:rFonts w:hint="eastAsia"/>
                <w:sz w:val="24"/>
                <w:szCs w:val="24"/>
                <w:vertAlign w:val="baseline"/>
                <w:lang w:val="en-US" w:eastAsia="zh-CN"/>
              </w:rPr>
            </w:pPr>
            <w:r>
              <w:rPr>
                <w:rFonts w:hint="eastAsia"/>
                <w:sz w:val="24"/>
                <w:szCs w:val="24"/>
              </w:rPr>
              <w:t>▲5.4</w:t>
            </w:r>
          </w:p>
        </w:tc>
        <w:tc>
          <w:tcPr>
            <w:tcW w:w="2496" w:type="dxa"/>
            <w:vAlign w:val="center"/>
          </w:tcPr>
          <w:p>
            <w:pPr>
              <w:jc w:val="both"/>
              <w:rPr>
                <w:sz w:val="24"/>
                <w:szCs w:val="24"/>
                <w:vertAlign w:val="baseline"/>
              </w:rPr>
            </w:pPr>
            <w:r>
              <w:rPr>
                <w:rFonts w:hint="eastAsia"/>
                <w:sz w:val="24"/>
                <w:szCs w:val="24"/>
              </w:rPr>
              <w:t>探头频率自适应调节</w:t>
            </w:r>
          </w:p>
        </w:tc>
        <w:tc>
          <w:tcPr>
            <w:tcW w:w="4483" w:type="dxa"/>
            <w:vAlign w:val="center"/>
          </w:tcPr>
          <w:p>
            <w:pPr>
              <w:jc w:val="both"/>
              <w:rPr>
                <w:sz w:val="24"/>
                <w:szCs w:val="24"/>
                <w:vertAlign w:val="baseline"/>
              </w:rPr>
            </w:pPr>
            <w:r>
              <w:rPr>
                <w:rFonts w:hint="eastAsia"/>
                <w:sz w:val="24"/>
                <w:szCs w:val="24"/>
              </w:rPr>
              <w:t>自动检测皮肤表面到肝脏包膜的距离，并自动调节探头传感器频率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rFonts w:hint="eastAsia"/>
                <w:sz w:val="24"/>
                <w:szCs w:val="24"/>
                <w:vertAlign w:val="baseline"/>
                <w:lang w:val="en-US" w:eastAsia="zh-CN"/>
              </w:rPr>
            </w:pPr>
            <w:r>
              <w:rPr>
                <w:rFonts w:hint="eastAsia"/>
                <w:sz w:val="24"/>
                <w:szCs w:val="24"/>
              </w:rPr>
              <w:t>5.5</w:t>
            </w:r>
          </w:p>
        </w:tc>
        <w:tc>
          <w:tcPr>
            <w:tcW w:w="2496" w:type="dxa"/>
            <w:vAlign w:val="center"/>
          </w:tcPr>
          <w:p>
            <w:pPr>
              <w:jc w:val="both"/>
              <w:rPr>
                <w:sz w:val="24"/>
                <w:szCs w:val="24"/>
                <w:vertAlign w:val="baseline"/>
              </w:rPr>
            </w:pPr>
            <w:r>
              <w:rPr>
                <w:rFonts w:hint="eastAsia"/>
                <w:sz w:val="24"/>
                <w:szCs w:val="24"/>
              </w:rPr>
              <w:t>剪切波频率</w:t>
            </w:r>
          </w:p>
        </w:tc>
        <w:tc>
          <w:tcPr>
            <w:tcW w:w="4483" w:type="dxa"/>
            <w:vAlign w:val="center"/>
          </w:tcPr>
          <w:p>
            <w:pPr>
              <w:jc w:val="both"/>
              <w:rPr>
                <w:sz w:val="24"/>
                <w:szCs w:val="24"/>
                <w:vertAlign w:val="baseline"/>
              </w:rPr>
            </w:pPr>
            <w:r>
              <w:rPr>
                <w:rFonts w:hint="eastAsia"/>
                <w:sz w:val="24"/>
                <w:szCs w:val="24"/>
              </w:rPr>
              <w:t>50 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6</w:t>
            </w:r>
          </w:p>
        </w:tc>
        <w:tc>
          <w:tcPr>
            <w:tcW w:w="6979" w:type="dxa"/>
            <w:gridSpan w:val="2"/>
            <w:vAlign w:val="center"/>
          </w:tcPr>
          <w:p>
            <w:pPr>
              <w:jc w:val="both"/>
              <w:rPr>
                <w:sz w:val="24"/>
                <w:szCs w:val="24"/>
                <w:vertAlign w:val="baseline"/>
              </w:rPr>
            </w:pPr>
            <w:r>
              <w:rPr>
                <w:rFonts w:hint="eastAsia"/>
                <w:sz w:val="24"/>
                <w:szCs w:val="24"/>
              </w:rPr>
              <w:t>硬度测量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543" w:type="dxa"/>
            <w:vAlign w:val="center"/>
          </w:tcPr>
          <w:p>
            <w:pPr>
              <w:jc w:val="both"/>
              <w:rPr>
                <w:rFonts w:hint="eastAsia"/>
                <w:sz w:val="24"/>
                <w:szCs w:val="24"/>
                <w:vertAlign w:val="baseline"/>
                <w:lang w:val="en-US" w:eastAsia="zh-CN"/>
              </w:rPr>
            </w:pPr>
            <w:r>
              <w:rPr>
                <w:rFonts w:hint="eastAsia"/>
                <w:sz w:val="24"/>
                <w:szCs w:val="24"/>
              </w:rPr>
              <w:t>▲6.1</w:t>
            </w:r>
          </w:p>
        </w:tc>
        <w:tc>
          <w:tcPr>
            <w:tcW w:w="2496" w:type="dxa"/>
            <w:vAlign w:val="center"/>
          </w:tcPr>
          <w:p>
            <w:pPr>
              <w:jc w:val="both"/>
              <w:rPr>
                <w:sz w:val="24"/>
                <w:szCs w:val="24"/>
                <w:vertAlign w:val="baseline"/>
              </w:rPr>
            </w:pPr>
            <w:r>
              <w:rPr>
                <w:rFonts w:hint="eastAsia"/>
                <w:sz w:val="24"/>
                <w:szCs w:val="24"/>
              </w:rPr>
              <w:t>单一纤维化探头测量深度范围</w:t>
            </w:r>
          </w:p>
        </w:tc>
        <w:tc>
          <w:tcPr>
            <w:tcW w:w="4483" w:type="dxa"/>
            <w:vAlign w:val="center"/>
          </w:tcPr>
          <w:p>
            <w:pPr>
              <w:jc w:val="both"/>
              <w:rPr>
                <w:sz w:val="24"/>
                <w:szCs w:val="24"/>
                <w:vertAlign w:val="baseline"/>
              </w:rPr>
            </w:pPr>
            <w:r>
              <w:rPr>
                <w:rFonts w:hint="eastAsia"/>
                <w:sz w:val="24"/>
                <w:szCs w:val="24"/>
              </w:rPr>
              <w:t>15mm-85mm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543" w:type="dxa"/>
            <w:vAlign w:val="center"/>
          </w:tcPr>
          <w:p>
            <w:pPr>
              <w:jc w:val="both"/>
              <w:rPr>
                <w:rFonts w:hint="eastAsia"/>
                <w:sz w:val="24"/>
                <w:szCs w:val="24"/>
                <w:vertAlign w:val="baseline"/>
                <w:lang w:val="en-US" w:eastAsia="zh-CN"/>
              </w:rPr>
            </w:pPr>
            <w:r>
              <w:rPr>
                <w:rFonts w:hint="eastAsia"/>
                <w:sz w:val="24"/>
                <w:szCs w:val="24"/>
              </w:rPr>
              <w:t>▲/＊6.2</w:t>
            </w:r>
          </w:p>
        </w:tc>
        <w:tc>
          <w:tcPr>
            <w:tcW w:w="2496" w:type="dxa"/>
            <w:vAlign w:val="center"/>
          </w:tcPr>
          <w:p>
            <w:pPr>
              <w:jc w:val="both"/>
              <w:rPr>
                <w:sz w:val="24"/>
                <w:szCs w:val="24"/>
                <w:vertAlign w:val="baseline"/>
              </w:rPr>
            </w:pPr>
            <w:r>
              <w:rPr>
                <w:rFonts w:hint="eastAsia"/>
                <w:sz w:val="24"/>
                <w:szCs w:val="24"/>
              </w:rPr>
              <w:t>单一纤维化探头硬度检测范围</w:t>
            </w:r>
          </w:p>
        </w:tc>
        <w:tc>
          <w:tcPr>
            <w:tcW w:w="4483" w:type="dxa"/>
            <w:vAlign w:val="center"/>
          </w:tcPr>
          <w:p>
            <w:pPr>
              <w:jc w:val="both"/>
              <w:rPr>
                <w:sz w:val="24"/>
                <w:szCs w:val="24"/>
                <w:vertAlign w:val="baseline"/>
              </w:rPr>
            </w:pPr>
            <w:r>
              <w:rPr>
                <w:rFonts w:hint="eastAsia"/>
                <w:sz w:val="24"/>
                <w:szCs w:val="24"/>
              </w:rPr>
              <w:t>1kPa--80kPa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rFonts w:hint="eastAsia"/>
                <w:sz w:val="24"/>
                <w:szCs w:val="24"/>
                <w:vertAlign w:val="baseline"/>
                <w:lang w:val="en-US" w:eastAsia="zh-CN"/>
              </w:rPr>
            </w:pPr>
            <w:r>
              <w:rPr>
                <w:rFonts w:hint="eastAsia"/>
                <w:sz w:val="24"/>
                <w:szCs w:val="24"/>
              </w:rPr>
              <w:t>6.3</w:t>
            </w:r>
          </w:p>
        </w:tc>
        <w:tc>
          <w:tcPr>
            <w:tcW w:w="2496" w:type="dxa"/>
            <w:vAlign w:val="center"/>
          </w:tcPr>
          <w:p>
            <w:pPr>
              <w:jc w:val="both"/>
              <w:rPr>
                <w:sz w:val="24"/>
                <w:szCs w:val="24"/>
                <w:vertAlign w:val="baseline"/>
              </w:rPr>
            </w:pPr>
            <w:r>
              <w:rPr>
                <w:rFonts w:hint="eastAsia"/>
                <w:sz w:val="24"/>
                <w:szCs w:val="24"/>
              </w:rPr>
              <w:t>硬度测量误差</w:t>
            </w:r>
          </w:p>
        </w:tc>
        <w:tc>
          <w:tcPr>
            <w:tcW w:w="4483" w:type="dxa"/>
            <w:vAlign w:val="center"/>
          </w:tcPr>
          <w:p>
            <w:pPr>
              <w:jc w:val="both"/>
              <w:rPr>
                <w:sz w:val="24"/>
                <w:szCs w:val="24"/>
                <w:vertAlign w:val="baseline"/>
              </w:rPr>
            </w:pPr>
            <w:r>
              <w:rPr>
                <w:rFonts w:hint="eastAsia"/>
                <w:sz w:val="24"/>
                <w:szCs w:val="24"/>
              </w:rPr>
              <w:t>≤0.5kPa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7</w:t>
            </w:r>
          </w:p>
        </w:tc>
        <w:tc>
          <w:tcPr>
            <w:tcW w:w="6979" w:type="dxa"/>
            <w:gridSpan w:val="2"/>
            <w:vAlign w:val="center"/>
          </w:tcPr>
          <w:p>
            <w:pPr>
              <w:jc w:val="both"/>
              <w:rPr>
                <w:sz w:val="24"/>
                <w:szCs w:val="24"/>
                <w:vertAlign w:val="baseline"/>
              </w:rPr>
            </w:pPr>
            <w:r>
              <w:rPr>
                <w:rFonts w:hint="eastAsia"/>
                <w:sz w:val="24"/>
                <w:szCs w:val="24"/>
              </w:rPr>
              <w:t>脂肪衰减参数测量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543" w:type="dxa"/>
            <w:vAlign w:val="center"/>
          </w:tcPr>
          <w:p>
            <w:pPr>
              <w:jc w:val="both"/>
              <w:rPr>
                <w:rFonts w:hint="eastAsia"/>
                <w:sz w:val="24"/>
                <w:szCs w:val="24"/>
                <w:vertAlign w:val="baseline"/>
                <w:lang w:val="en-US" w:eastAsia="zh-CN"/>
              </w:rPr>
            </w:pPr>
            <w:r>
              <w:rPr>
                <w:rFonts w:hint="eastAsia"/>
                <w:sz w:val="24"/>
                <w:szCs w:val="24"/>
              </w:rPr>
              <w:t xml:space="preserve">7.1 </w:t>
            </w:r>
          </w:p>
        </w:tc>
        <w:tc>
          <w:tcPr>
            <w:tcW w:w="2496" w:type="dxa"/>
            <w:vAlign w:val="center"/>
          </w:tcPr>
          <w:p>
            <w:pPr>
              <w:jc w:val="both"/>
              <w:rPr>
                <w:sz w:val="24"/>
                <w:szCs w:val="24"/>
                <w:vertAlign w:val="baseline"/>
              </w:rPr>
            </w:pPr>
            <w:r>
              <w:rPr>
                <w:rFonts w:hint="eastAsia"/>
                <w:sz w:val="24"/>
                <w:szCs w:val="24"/>
              </w:rPr>
              <w:t>脂肪衰减参数检测范围</w:t>
            </w:r>
          </w:p>
        </w:tc>
        <w:tc>
          <w:tcPr>
            <w:tcW w:w="4483" w:type="dxa"/>
            <w:vAlign w:val="center"/>
          </w:tcPr>
          <w:p>
            <w:pPr>
              <w:jc w:val="both"/>
              <w:rPr>
                <w:sz w:val="24"/>
                <w:szCs w:val="24"/>
                <w:vertAlign w:val="baseline"/>
              </w:rPr>
            </w:pPr>
            <w:r>
              <w:rPr>
                <w:rFonts w:hint="eastAsia"/>
                <w:sz w:val="24"/>
                <w:szCs w:val="24"/>
              </w:rPr>
              <w:t>90dB/m-450dB/m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543"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7.2</w:t>
            </w:r>
          </w:p>
        </w:tc>
        <w:tc>
          <w:tcPr>
            <w:tcW w:w="2496" w:type="dxa"/>
            <w:vAlign w:val="center"/>
          </w:tcPr>
          <w:p>
            <w:pPr>
              <w:jc w:val="both"/>
              <w:rPr>
                <w:sz w:val="24"/>
                <w:szCs w:val="24"/>
                <w:vertAlign w:val="baseline"/>
              </w:rPr>
            </w:pPr>
            <w:r>
              <w:rPr>
                <w:rFonts w:hint="eastAsia"/>
                <w:sz w:val="24"/>
                <w:szCs w:val="24"/>
              </w:rPr>
              <w:t>脂肪衰减参数测量误差</w:t>
            </w:r>
          </w:p>
        </w:tc>
        <w:tc>
          <w:tcPr>
            <w:tcW w:w="4483" w:type="dxa"/>
            <w:vAlign w:val="center"/>
          </w:tcPr>
          <w:p>
            <w:pPr>
              <w:jc w:val="both"/>
              <w:rPr>
                <w:sz w:val="24"/>
                <w:szCs w:val="24"/>
                <w:vertAlign w:val="baseline"/>
              </w:rPr>
            </w:pPr>
            <w:r>
              <w:rPr>
                <w:rFonts w:hint="eastAsia"/>
                <w:sz w:val="24"/>
                <w:szCs w:val="24"/>
              </w:rPr>
              <w:t>≤5dB/m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8</w:t>
            </w:r>
          </w:p>
        </w:tc>
        <w:tc>
          <w:tcPr>
            <w:tcW w:w="6979" w:type="dxa"/>
            <w:gridSpan w:val="2"/>
            <w:vAlign w:val="center"/>
          </w:tcPr>
          <w:p>
            <w:pPr>
              <w:jc w:val="both"/>
              <w:rPr>
                <w:sz w:val="24"/>
                <w:szCs w:val="24"/>
                <w:vertAlign w:val="baseline"/>
              </w:rPr>
            </w:pPr>
            <w:r>
              <w:rPr>
                <w:rFonts w:hint="eastAsia"/>
                <w:sz w:val="24"/>
                <w:szCs w:val="24"/>
              </w:rPr>
              <w:t>纤维扫描功能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543"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8.1</w:t>
            </w:r>
          </w:p>
        </w:tc>
        <w:tc>
          <w:tcPr>
            <w:tcW w:w="2496" w:type="dxa"/>
            <w:vAlign w:val="center"/>
          </w:tcPr>
          <w:p>
            <w:pPr>
              <w:jc w:val="both"/>
              <w:rPr>
                <w:sz w:val="24"/>
                <w:szCs w:val="24"/>
                <w:vertAlign w:val="baseline"/>
              </w:rPr>
            </w:pPr>
            <w:r>
              <w:rPr>
                <w:rFonts w:hint="eastAsia"/>
                <w:sz w:val="24"/>
                <w:szCs w:val="24"/>
              </w:rPr>
              <w:t>肝脏定位</w:t>
            </w:r>
          </w:p>
        </w:tc>
        <w:tc>
          <w:tcPr>
            <w:tcW w:w="4483" w:type="dxa"/>
            <w:vAlign w:val="center"/>
          </w:tcPr>
          <w:p>
            <w:pPr>
              <w:jc w:val="both"/>
              <w:rPr>
                <w:sz w:val="24"/>
                <w:szCs w:val="24"/>
                <w:vertAlign w:val="baseline"/>
              </w:rPr>
            </w:pPr>
            <w:r>
              <w:rPr>
                <w:rFonts w:hint="eastAsia"/>
                <w:sz w:val="24"/>
                <w:szCs w:val="24"/>
              </w:rPr>
              <w:t>超声影像引导检查者精确定位肝区，避开肝脏大血管、囊肿等，选择最佳位置；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43"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8.2</w:t>
            </w:r>
          </w:p>
        </w:tc>
        <w:tc>
          <w:tcPr>
            <w:tcW w:w="2496" w:type="dxa"/>
            <w:vAlign w:val="center"/>
          </w:tcPr>
          <w:p>
            <w:pPr>
              <w:jc w:val="both"/>
              <w:rPr>
                <w:sz w:val="24"/>
                <w:szCs w:val="24"/>
                <w:vertAlign w:val="baseline"/>
              </w:rPr>
            </w:pPr>
            <w:r>
              <w:rPr>
                <w:rFonts w:hint="eastAsia"/>
                <w:sz w:val="24"/>
                <w:szCs w:val="24"/>
              </w:rPr>
              <w:t>取样点定位</w:t>
            </w:r>
          </w:p>
        </w:tc>
        <w:tc>
          <w:tcPr>
            <w:tcW w:w="4483" w:type="dxa"/>
            <w:vAlign w:val="center"/>
          </w:tcPr>
          <w:p>
            <w:pPr>
              <w:jc w:val="both"/>
              <w:rPr>
                <w:sz w:val="24"/>
                <w:szCs w:val="24"/>
                <w:vertAlign w:val="baseline"/>
              </w:rPr>
            </w:pPr>
            <w:r>
              <w:rPr>
                <w:rFonts w:hint="eastAsia"/>
                <w:sz w:val="24"/>
                <w:szCs w:val="24"/>
              </w:rPr>
              <w:t>A模式；M模式自动同步显示确定取样点的位置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543"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8.3</w:t>
            </w:r>
          </w:p>
        </w:tc>
        <w:tc>
          <w:tcPr>
            <w:tcW w:w="2496" w:type="dxa"/>
            <w:vAlign w:val="center"/>
          </w:tcPr>
          <w:p>
            <w:pPr>
              <w:jc w:val="both"/>
              <w:rPr>
                <w:sz w:val="24"/>
                <w:szCs w:val="24"/>
                <w:vertAlign w:val="baseline"/>
              </w:rPr>
            </w:pPr>
            <w:r>
              <w:rPr>
                <w:rFonts w:hint="eastAsia"/>
                <w:sz w:val="24"/>
                <w:szCs w:val="24"/>
              </w:rPr>
              <w:t>肝脏自动识别功能</w:t>
            </w:r>
          </w:p>
        </w:tc>
        <w:tc>
          <w:tcPr>
            <w:tcW w:w="4483" w:type="dxa"/>
            <w:vAlign w:val="center"/>
          </w:tcPr>
          <w:p>
            <w:pPr>
              <w:jc w:val="both"/>
              <w:rPr>
                <w:sz w:val="24"/>
                <w:szCs w:val="24"/>
                <w:vertAlign w:val="baseline"/>
              </w:rPr>
            </w:pPr>
            <w:r>
              <w:rPr>
                <w:rFonts w:hint="eastAsia"/>
                <w:sz w:val="24"/>
                <w:szCs w:val="24"/>
              </w:rPr>
              <w:t>通过色带颜色反映肝内超声信号的质量，提示肝脏位置，辅助纤维扫描探头定位。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543"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8.4</w:t>
            </w:r>
          </w:p>
        </w:tc>
        <w:tc>
          <w:tcPr>
            <w:tcW w:w="2496" w:type="dxa"/>
            <w:vAlign w:val="center"/>
          </w:tcPr>
          <w:p>
            <w:pPr>
              <w:jc w:val="both"/>
              <w:rPr>
                <w:sz w:val="24"/>
                <w:szCs w:val="24"/>
                <w:vertAlign w:val="baseline"/>
              </w:rPr>
            </w:pPr>
            <w:r>
              <w:rPr>
                <w:rFonts w:hint="eastAsia"/>
                <w:sz w:val="24"/>
                <w:szCs w:val="24"/>
              </w:rPr>
              <w:t>压力显示</w:t>
            </w:r>
          </w:p>
        </w:tc>
        <w:tc>
          <w:tcPr>
            <w:tcW w:w="4483" w:type="dxa"/>
            <w:vAlign w:val="center"/>
          </w:tcPr>
          <w:p>
            <w:pPr>
              <w:rPr>
                <w:sz w:val="24"/>
                <w:szCs w:val="24"/>
                <w:vertAlign w:val="baseline"/>
              </w:rPr>
            </w:pPr>
            <w:r>
              <w:rPr>
                <w:rFonts w:hint="eastAsia"/>
                <w:sz w:val="24"/>
                <w:szCs w:val="24"/>
              </w:rPr>
              <w:t>压力指示窗口，实时监测探头承受压力范围并具有压力过载自动提示并停止检测功能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8.5</w:t>
            </w:r>
          </w:p>
        </w:tc>
        <w:tc>
          <w:tcPr>
            <w:tcW w:w="2496" w:type="dxa"/>
            <w:vAlign w:val="center"/>
          </w:tcPr>
          <w:p>
            <w:pPr>
              <w:jc w:val="both"/>
              <w:rPr>
                <w:sz w:val="24"/>
                <w:szCs w:val="24"/>
                <w:vertAlign w:val="baseline"/>
              </w:rPr>
            </w:pPr>
            <w:r>
              <w:rPr>
                <w:rFonts w:hint="eastAsia"/>
                <w:sz w:val="24"/>
                <w:szCs w:val="24"/>
              </w:rPr>
              <w:t>量化分析</w:t>
            </w:r>
          </w:p>
        </w:tc>
        <w:tc>
          <w:tcPr>
            <w:tcW w:w="4483" w:type="dxa"/>
            <w:vAlign w:val="center"/>
          </w:tcPr>
          <w:p>
            <w:pPr>
              <w:jc w:val="both"/>
              <w:rPr>
                <w:sz w:val="24"/>
                <w:szCs w:val="24"/>
                <w:vertAlign w:val="baseline"/>
              </w:rPr>
            </w:pPr>
            <w:r>
              <w:rPr>
                <w:rFonts w:hint="eastAsia"/>
                <w:sz w:val="24"/>
                <w:szCs w:val="24"/>
              </w:rPr>
              <w:t>软件自动分析测量结果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543"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8.6</w:t>
            </w:r>
          </w:p>
        </w:tc>
        <w:tc>
          <w:tcPr>
            <w:tcW w:w="2496" w:type="dxa"/>
            <w:vAlign w:val="center"/>
          </w:tcPr>
          <w:p>
            <w:pPr>
              <w:jc w:val="both"/>
              <w:rPr>
                <w:sz w:val="24"/>
                <w:szCs w:val="24"/>
                <w:vertAlign w:val="baseline"/>
              </w:rPr>
            </w:pPr>
            <w:r>
              <w:rPr>
                <w:rFonts w:hint="eastAsia"/>
                <w:sz w:val="24"/>
                <w:szCs w:val="24"/>
              </w:rPr>
              <w:t>显示值</w:t>
            </w:r>
          </w:p>
        </w:tc>
        <w:tc>
          <w:tcPr>
            <w:tcW w:w="4483" w:type="dxa"/>
            <w:vAlign w:val="center"/>
          </w:tcPr>
          <w:p>
            <w:pPr>
              <w:jc w:val="both"/>
              <w:rPr>
                <w:sz w:val="24"/>
                <w:szCs w:val="24"/>
                <w:vertAlign w:val="baseline"/>
              </w:rPr>
            </w:pPr>
            <w:r>
              <w:rPr>
                <w:rFonts w:hint="eastAsia"/>
                <w:sz w:val="24"/>
                <w:szCs w:val="24"/>
              </w:rPr>
              <w:t>患者信息、中位数、硬度值、IQR、成功率、测量次数、脂肪衰减参数值等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8.7</w:t>
            </w:r>
          </w:p>
        </w:tc>
        <w:tc>
          <w:tcPr>
            <w:tcW w:w="2496" w:type="dxa"/>
            <w:vAlign w:val="center"/>
          </w:tcPr>
          <w:p>
            <w:pPr>
              <w:jc w:val="both"/>
              <w:rPr>
                <w:sz w:val="24"/>
                <w:szCs w:val="24"/>
                <w:vertAlign w:val="baseline"/>
              </w:rPr>
            </w:pPr>
            <w:r>
              <w:rPr>
                <w:rFonts w:hint="eastAsia"/>
                <w:sz w:val="24"/>
                <w:szCs w:val="24"/>
              </w:rPr>
              <w:t>弹性图</w:t>
            </w:r>
          </w:p>
        </w:tc>
        <w:tc>
          <w:tcPr>
            <w:tcW w:w="4483" w:type="dxa"/>
            <w:vAlign w:val="center"/>
          </w:tcPr>
          <w:p>
            <w:pPr>
              <w:jc w:val="both"/>
              <w:rPr>
                <w:sz w:val="24"/>
                <w:szCs w:val="24"/>
                <w:vertAlign w:val="baseline"/>
              </w:rPr>
            </w:pPr>
            <w:r>
              <w:rPr>
                <w:rFonts w:hint="eastAsia"/>
                <w:sz w:val="24"/>
                <w:szCs w:val="24"/>
              </w:rPr>
              <w:t>弹性结果图显示测量深度及时间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rFonts w:hint="default"/>
                <w:sz w:val="24"/>
                <w:szCs w:val="24"/>
                <w:vertAlign w:val="baseline"/>
                <w:lang w:val="en-US" w:eastAsia="zh-CN"/>
              </w:rPr>
            </w:pPr>
            <w:r>
              <w:rPr>
                <w:rFonts w:hint="eastAsia" w:ascii="宋体" w:hAnsi="宋体" w:eastAsia="宋体" w:cs="宋体"/>
                <w:b/>
                <w:kern w:val="0"/>
                <w:sz w:val="24"/>
                <w:szCs w:val="24"/>
                <w:lang w:bidi="ar"/>
              </w:rPr>
              <w:t>▲</w:t>
            </w:r>
            <w:r>
              <w:rPr>
                <w:rFonts w:hint="eastAsia"/>
                <w:sz w:val="24"/>
                <w:szCs w:val="24"/>
                <w:vertAlign w:val="baseline"/>
                <w:lang w:val="en-US" w:eastAsia="zh-CN"/>
              </w:rPr>
              <w:t>8.8</w:t>
            </w:r>
          </w:p>
        </w:tc>
        <w:tc>
          <w:tcPr>
            <w:tcW w:w="2496" w:type="dxa"/>
            <w:vAlign w:val="center"/>
          </w:tcPr>
          <w:p>
            <w:pPr>
              <w:jc w:val="both"/>
              <w:rPr>
                <w:sz w:val="24"/>
                <w:szCs w:val="24"/>
                <w:vertAlign w:val="baseline"/>
              </w:rPr>
            </w:pPr>
            <w:r>
              <w:rPr>
                <w:rFonts w:hint="eastAsia"/>
                <w:sz w:val="24"/>
                <w:szCs w:val="24"/>
              </w:rPr>
              <w:t>测量单位</w:t>
            </w:r>
          </w:p>
        </w:tc>
        <w:tc>
          <w:tcPr>
            <w:tcW w:w="4483" w:type="dxa"/>
            <w:vAlign w:val="center"/>
          </w:tcPr>
          <w:p>
            <w:pPr>
              <w:jc w:val="both"/>
              <w:rPr>
                <w:sz w:val="24"/>
                <w:szCs w:val="24"/>
                <w:vertAlign w:val="baseline"/>
              </w:rPr>
            </w:pPr>
            <w:r>
              <w:rPr>
                <w:rFonts w:hint="eastAsia"/>
                <w:sz w:val="24"/>
                <w:szCs w:val="24"/>
              </w:rPr>
              <w:t>硬度单位kPa，脂肪衰减参数dB/m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8.9</w:t>
            </w:r>
          </w:p>
        </w:tc>
        <w:tc>
          <w:tcPr>
            <w:tcW w:w="2496" w:type="dxa"/>
            <w:vAlign w:val="center"/>
          </w:tcPr>
          <w:p>
            <w:pPr>
              <w:jc w:val="both"/>
              <w:rPr>
                <w:sz w:val="24"/>
                <w:szCs w:val="24"/>
                <w:vertAlign w:val="baseline"/>
              </w:rPr>
            </w:pPr>
            <w:r>
              <w:rPr>
                <w:rFonts w:hint="eastAsia"/>
                <w:sz w:val="24"/>
                <w:szCs w:val="24"/>
              </w:rPr>
              <w:t>存储</w:t>
            </w:r>
          </w:p>
        </w:tc>
        <w:tc>
          <w:tcPr>
            <w:tcW w:w="4483" w:type="dxa"/>
            <w:vAlign w:val="center"/>
          </w:tcPr>
          <w:p>
            <w:pPr>
              <w:jc w:val="both"/>
              <w:rPr>
                <w:sz w:val="24"/>
                <w:szCs w:val="24"/>
                <w:vertAlign w:val="baseline"/>
              </w:rPr>
            </w:pPr>
            <w:r>
              <w:rPr>
                <w:rFonts w:hint="eastAsia"/>
                <w:sz w:val="24"/>
                <w:szCs w:val="24"/>
              </w:rPr>
              <w:t>无需操作，自动保存病例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8.10</w:t>
            </w:r>
          </w:p>
        </w:tc>
        <w:tc>
          <w:tcPr>
            <w:tcW w:w="2496" w:type="dxa"/>
            <w:vAlign w:val="center"/>
          </w:tcPr>
          <w:p>
            <w:pPr>
              <w:jc w:val="both"/>
              <w:rPr>
                <w:sz w:val="24"/>
                <w:szCs w:val="24"/>
                <w:vertAlign w:val="baseline"/>
              </w:rPr>
            </w:pPr>
            <w:r>
              <w:rPr>
                <w:rFonts w:hint="eastAsia"/>
                <w:sz w:val="24"/>
                <w:szCs w:val="24"/>
              </w:rPr>
              <w:t>报告</w:t>
            </w:r>
          </w:p>
        </w:tc>
        <w:tc>
          <w:tcPr>
            <w:tcW w:w="4483" w:type="dxa"/>
            <w:vAlign w:val="center"/>
          </w:tcPr>
          <w:p>
            <w:pPr>
              <w:jc w:val="both"/>
              <w:rPr>
                <w:sz w:val="24"/>
                <w:szCs w:val="24"/>
                <w:vertAlign w:val="baseline"/>
              </w:rPr>
            </w:pPr>
            <w:r>
              <w:rPr>
                <w:rFonts w:hint="eastAsia"/>
                <w:sz w:val="24"/>
                <w:szCs w:val="24"/>
              </w:rPr>
              <w:t>图形、数字报告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8.11</w:t>
            </w:r>
          </w:p>
        </w:tc>
        <w:tc>
          <w:tcPr>
            <w:tcW w:w="2496" w:type="dxa"/>
            <w:vAlign w:val="center"/>
          </w:tcPr>
          <w:p>
            <w:pPr>
              <w:jc w:val="both"/>
              <w:rPr>
                <w:sz w:val="24"/>
                <w:szCs w:val="24"/>
                <w:vertAlign w:val="baseline"/>
              </w:rPr>
            </w:pPr>
            <w:r>
              <w:rPr>
                <w:rFonts w:hint="eastAsia"/>
                <w:sz w:val="24"/>
                <w:szCs w:val="24"/>
              </w:rPr>
              <w:t>病例导出</w:t>
            </w:r>
          </w:p>
        </w:tc>
        <w:tc>
          <w:tcPr>
            <w:tcW w:w="4483" w:type="dxa"/>
            <w:vAlign w:val="center"/>
          </w:tcPr>
          <w:p>
            <w:pPr>
              <w:jc w:val="both"/>
              <w:rPr>
                <w:sz w:val="24"/>
                <w:szCs w:val="24"/>
                <w:vertAlign w:val="baseline"/>
              </w:rPr>
            </w:pPr>
            <w:r>
              <w:rPr>
                <w:rFonts w:hint="eastAsia"/>
                <w:sz w:val="24"/>
                <w:szCs w:val="24"/>
              </w:rPr>
              <w:t>支持导出病例全部信息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8.12</w:t>
            </w:r>
          </w:p>
        </w:tc>
        <w:tc>
          <w:tcPr>
            <w:tcW w:w="2496" w:type="dxa"/>
            <w:vAlign w:val="center"/>
          </w:tcPr>
          <w:p>
            <w:pPr>
              <w:jc w:val="both"/>
              <w:rPr>
                <w:sz w:val="24"/>
                <w:szCs w:val="24"/>
                <w:vertAlign w:val="baseline"/>
              </w:rPr>
            </w:pPr>
            <w:r>
              <w:rPr>
                <w:rFonts w:hint="eastAsia"/>
                <w:sz w:val="24"/>
                <w:szCs w:val="24"/>
              </w:rPr>
              <w:t>病历管理</w:t>
            </w:r>
          </w:p>
        </w:tc>
        <w:tc>
          <w:tcPr>
            <w:tcW w:w="4483" w:type="dxa"/>
            <w:vAlign w:val="center"/>
          </w:tcPr>
          <w:p>
            <w:pPr>
              <w:jc w:val="both"/>
              <w:rPr>
                <w:sz w:val="24"/>
                <w:szCs w:val="24"/>
                <w:vertAlign w:val="baseline"/>
              </w:rPr>
            </w:pPr>
            <w:r>
              <w:rPr>
                <w:rFonts w:hint="eastAsia"/>
                <w:sz w:val="24"/>
                <w:szCs w:val="24"/>
              </w:rPr>
              <w:t>支持批量删除及导入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8.13</w:t>
            </w:r>
          </w:p>
        </w:tc>
        <w:tc>
          <w:tcPr>
            <w:tcW w:w="2496" w:type="dxa"/>
            <w:vAlign w:val="center"/>
          </w:tcPr>
          <w:p>
            <w:pPr>
              <w:jc w:val="both"/>
              <w:rPr>
                <w:sz w:val="24"/>
                <w:szCs w:val="24"/>
                <w:vertAlign w:val="baseline"/>
              </w:rPr>
            </w:pPr>
            <w:r>
              <w:rPr>
                <w:rFonts w:hint="eastAsia"/>
                <w:sz w:val="24"/>
                <w:szCs w:val="24"/>
              </w:rPr>
              <w:t>病例搜索</w:t>
            </w:r>
          </w:p>
        </w:tc>
        <w:tc>
          <w:tcPr>
            <w:tcW w:w="4483" w:type="dxa"/>
            <w:vAlign w:val="center"/>
          </w:tcPr>
          <w:p>
            <w:pPr>
              <w:jc w:val="both"/>
              <w:rPr>
                <w:sz w:val="24"/>
                <w:szCs w:val="24"/>
                <w:vertAlign w:val="baseline"/>
              </w:rPr>
            </w:pPr>
            <w:r>
              <w:rPr>
                <w:rFonts w:hint="eastAsia"/>
                <w:sz w:val="24"/>
                <w:szCs w:val="24"/>
              </w:rPr>
              <w:t>按要求筛选病例</w:t>
            </w:r>
          </w:p>
        </w:tc>
      </w:tr>
    </w:tbl>
    <w:p>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cs="宋体"/>
          <w:b/>
          <w:color w:val="auto"/>
          <w:sz w:val="24"/>
          <w:highlight w:val="none"/>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482" w:leftChars="0" w:hanging="482" w:hangingChars="200"/>
        <w:textAlignment w:val="auto"/>
        <w:outlineLvl w:val="9"/>
        <w:rPr>
          <w:rFonts w:hint="default" w:ascii="宋体" w:hAnsi="宋体" w:cs="宋体"/>
          <w:b/>
          <w:color w:val="auto"/>
          <w:sz w:val="24"/>
          <w:highlight w:val="none"/>
          <w:lang w:val="en-US"/>
        </w:rPr>
      </w:pPr>
      <w:r>
        <w:rPr>
          <w:rFonts w:hint="eastAsia" w:ascii="宋体" w:hAnsi="宋体" w:cs="宋体"/>
          <w:b/>
          <w:color w:val="auto"/>
          <w:sz w:val="24"/>
          <w:highlight w:val="none"/>
          <w:lang w:val="en-US" w:eastAsia="zh-CN"/>
        </w:rPr>
        <w:t>五、</w:t>
      </w:r>
      <w:r>
        <w:rPr>
          <w:rFonts w:ascii="宋体" w:hAnsi="宋体" w:eastAsia="宋体" w:cs="宋体"/>
          <w:b/>
          <w:bCs/>
          <w:sz w:val="24"/>
          <w:szCs w:val="24"/>
        </w:rPr>
        <w:t>货物交货方式：</w:t>
      </w:r>
      <w:r>
        <w:rPr>
          <w:rFonts w:ascii="宋体" w:hAnsi="宋体" w:eastAsia="宋体" w:cs="宋体"/>
          <w:sz w:val="24"/>
          <w:szCs w:val="24"/>
        </w:rPr>
        <w:t>厂家派工程师到现场安装调试，并负责对使用科室进行操作等培训，直到培训合格为止。</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lang w:val="en-US" w:eastAsia="zh-CN"/>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付款及结算方式</w:t>
      </w:r>
      <w:r>
        <w:rPr>
          <w:rFonts w:hint="eastAsia" w:ascii="宋体" w:hAnsi="宋体" w:cs="宋体"/>
          <w:b/>
          <w:color w:val="auto"/>
          <w:sz w:val="24"/>
          <w:highlight w:val="none"/>
          <w:lang w:eastAsia="zh-CN"/>
        </w:rPr>
        <w:t>：</w:t>
      </w:r>
      <w:r>
        <w:rPr>
          <w:rFonts w:hint="eastAsia" w:ascii="宋体" w:hAnsi="宋体" w:cs="宋体"/>
          <w:b w:val="0"/>
          <w:bCs/>
          <w:color w:val="auto"/>
          <w:sz w:val="24"/>
          <w:highlight w:val="none"/>
          <w:lang w:val="en-US" w:eastAsia="zh-CN"/>
        </w:rPr>
        <w:t>按实际损耗数量结算。</w:t>
      </w:r>
    </w:p>
    <w:p>
      <w:pPr>
        <w:keepNext w:val="0"/>
        <w:keepLines w:val="0"/>
        <w:pageBreakBefore w:val="0"/>
        <w:kinsoku/>
        <w:wordWrap/>
        <w:overflowPunct/>
        <w:topLinePunct w:val="0"/>
        <w:autoSpaceDE/>
        <w:autoSpaceDN/>
        <w:bidi w:val="0"/>
        <w:adjustRightInd w:val="0"/>
        <w:snapToGrid w:val="0"/>
        <w:spacing w:line="360" w:lineRule="auto"/>
        <w:jc w:val="both"/>
        <w:textAlignment w:val="auto"/>
        <w:outlineLvl w:val="9"/>
        <w:rPr>
          <w:rFonts w:ascii="宋体" w:hAnsi="宋体" w:cs="宋体"/>
          <w:b/>
          <w:color w:val="auto"/>
          <w:sz w:val="36"/>
          <w:szCs w:val="36"/>
          <w:highlight w:val="none"/>
        </w:rPr>
      </w:pP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bookmarkStart w:id="0" w:name="_Toc2071"/>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val="en-US" w:eastAsia="zh-CN"/>
        </w:rPr>
        <w:t>四</w:t>
      </w:r>
      <w:r>
        <w:rPr>
          <w:rFonts w:hint="eastAsia" w:ascii="宋体" w:hAnsi="宋体" w:cs="宋体"/>
          <w:b/>
          <w:color w:val="auto"/>
          <w:sz w:val="36"/>
          <w:szCs w:val="36"/>
          <w:highlight w:val="none"/>
        </w:rPr>
        <w:t>章　响应文件的格式</w:t>
      </w:r>
      <w:bookmarkEnd w:id="0"/>
    </w:p>
    <w:p>
      <w:pPr>
        <w:pageBreakBefore w:val="0"/>
        <w:kinsoku/>
        <w:wordWrap/>
        <w:topLinePunct w:val="0"/>
        <w:bidi w:val="0"/>
        <w:adjustRightInd w:val="0"/>
        <w:snapToGrid w:val="0"/>
        <w:spacing w:line="360" w:lineRule="auto"/>
        <w:jc w:val="both"/>
        <w:rPr>
          <w:rFonts w:ascii="宋体" w:hAnsi="宋体" w:cs="宋体"/>
          <w:color w:val="auto"/>
          <w:sz w:val="72"/>
          <w:highlight w:val="none"/>
        </w:rPr>
      </w:pP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rPr>
        <w:t>（正/副本）</w:t>
      </w:r>
    </w:p>
    <w:p>
      <w:pPr>
        <w:pageBreakBefore w:val="0"/>
        <w:kinsoku/>
        <w:wordWrap/>
        <w:topLinePunct w:val="0"/>
        <w:bidi w:val="0"/>
        <w:adjustRightInd w:val="0"/>
        <w:snapToGrid w:val="0"/>
        <w:spacing w:line="360" w:lineRule="auto"/>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pPr>
        <w:pageBreakBefore w:val="0"/>
        <w:kinsoku/>
        <w:wordWrap/>
        <w:topLinePunct w:val="0"/>
        <w:bidi w:val="0"/>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lang w:eastAsia="zh-CN"/>
        </w:rPr>
        <w:t>供应商（盖章）</w:t>
      </w:r>
      <w:r>
        <w:rPr>
          <w:rFonts w:hint="eastAsia" w:ascii="宋体" w:hAnsi="宋体" w:cs="宋体"/>
          <w:color w:val="auto"/>
          <w:sz w:val="30"/>
          <w:highlight w:val="none"/>
        </w:rPr>
        <w:t>：</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法人或授权委托人（签字或盖章）</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lang w:eastAsia="zh-CN"/>
        </w:rPr>
        <w:t>二〇二</w:t>
      </w:r>
      <w:r>
        <w:rPr>
          <w:rFonts w:hint="eastAsia" w:ascii="宋体" w:hAnsi="宋体" w:cs="宋体"/>
          <w:color w:val="auto"/>
          <w:sz w:val="30"/>
          <w:highlight w:val="none"/>
          <w:lang w:val="en-US" w:eastAsia="zh-CN"/>
        </w:rPr>
        <w:t>四</w:t>
      </w:r>
      <w:r>
        <w:rPr>
          <w:rFonts w:hint="eastAsia" w:ascii="宋体" w:hAnsi="宋体" w:cs="宋体"/>
          <w:color w:val="auto"/>
          <w:sz w:val="30"/>
          <w:highlight w:val="none"/>
        </w:rPr>
        <w:t>年  月  日</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spacing w:line="348" w:lineRule="auto"/>
        <w:rPr>
          <w:rFonts w:ascii="宋体" w:hAnsi="宋体" w:cs="宋体"/>
        </w:rPr>
      </w:pPr>
      <w:r>
        <w:rPr>
          <w:rFonts w:hint="eastAsia" w:ascii="宋体" w:hAnsi="宋体" w:cs="宋体"/>
          <w:b/>
          <w:bCs/>
          <w:sz w:val="24"/>
        </w:rPr>
        <w:t>附</w:t>
      </w:r>
      <w:r>
        <w:rPr>
          <w:rFonts w:hint="eastAsia" w:ascii="宋体" w:hAnsi="宋体" w:cs="宋体"/>
          <w:b/>
          <w:bCs/>
          <w:sz w:val="24"/>
          <w:lang w:val="en-US" w:eastAsia="zh-CN"/>
        </w:rPr>
        <w:t>1</w:t>
      </w:r>
      <w:r>
        <w:rPr>
          <w:rFonts w:hint="eastAsia" w:ascii="宋体" w:hAnsi="宋体" w:cs="宋体"/>
          <w:b/>
          <w:bCs/>
          <w:sz w:val="24"/>
        </w:rPr>
        <w:t>：</w:t>
      </w:r>
    </w:p>
    <w:p>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pPr>
        <w:pStyle w:val="20"/>
        <w:rPr>
          <w:rFonts w:ascii="宋体" w:hAnsi="宋体" w:cs="宋体"/>
        </w:rPr>
      </w:pPr>
    </w:p>
    <w:p>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w:t>
      </w:r>
      <w:r>
        <w:rPr>
          <w:rFonts w:hint="eastAsia" w:ascii="宋体" w:hAnsi="宋体" w:cs="宋体"/>
          <w:sz w:val="24"/>
          <w:lang w:eastAsia="zh-CN"/>
        </w:rPr>
        <w:t>采购文件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协商、签订合同书以及执行一切与此有关的事项。特此证明。</w:t>
      </w:r>
    </w:p>
    <w:p>
      <w:pPr>
        <w:snapToGrid w:val="0"/>
        <w:spacing w:line="360" w:lineRule="auto"/>
        <w:ind w:firstLine="720" w:firstLineChars="300"/>
        <w:rPr>
          <w:rFonts w:ascii="宋体" w:hAnsi="宋体" w:cs="宋体"/>
          <w:sz w:val="24"/>
        </w:rPr>
      </w:pP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tcPr>
          <w:p>
            <w:pPr>
              <w:snapToGrid w:val="0"/>
              <w:spacing w:line="360" w:lineRule="auto"/>
              <w:ind w:firstLine="720" w:firstLineChars="300"/>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rPr>
                <w:rFonts w:ascii="宋体" w:hAnsi="宋体" w:cs="宋体"/>
                <w:sz w:val="24"/>
              </w:rPr>
            </w:pPr>
            <w:r>
              <w:rPr>
                <w:rFonts w:hint="eastAsia" w:ascii="宋体" w:hAnsi="宋体" w:cs="宋体"/>
                <w:sz w:val="24"/>
              </w:rPr>
              <w:t>法定代表人</w:t>
            </w:r>
            <w:r>
              <w:rPr>
                <w:rFonts w:hint="eastAsia" w:ascii="宋体" w:hAnsi="宋体" w:cs="宋体"/>
                <w:sz w:val="24"/>
                <w:highlight w:val="yellow"/>
                <w:lang w:eastAsia="zh-CN"/>
              </w:rPr>
              <w:t>签字或盖章</w:t>
            </w:r>
            <w:r>
              <w:rPr>
                <w:rFonts w:hint="eastAsia" w:ascii="宋体" w:hAnsi="宋体" w:cs="宋体"/>
                <w:sz w:val="24"/>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pPr>
        <w:snapToGrid w:val="0"/>
        <w:spacing w:line="360" w:lineRule="auto"/>
        <w:ind w:firstLine="720" w:firstLineChars="300"/>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法定代表人身份证复印件：</w:t>
      </w:r>
    </w:p>
    <w:p>
      <w:pPr>
        <w:spacing w:line="360" w:lineRule="auto"/>
        <w:rPr>
          <w:rFonts w:ascii="宋体" w:hAnsi="宋体" w:cs="宋体"/>
          <w:szCs w:val="21"/>
        </w:rPr>
      </w:pPr>
    </w:p>
    <w:p>
      <w:pPr>
        <w:pStyle w:val="5"/>
        <w:rPr>
          <w:rFonts w:hAnsi="宋体" w:cs="宋体"/>
        </w:rPr>
      </w:pPr>
      <w:r>
        <w:rPr>
          <w:rFonts w:hAnsi="宋体" w:cs="宋体"/>
        </w:rPr>
        <mc:AlternateContent>
          <mc:Choice Requires="wps">
            <w:drawing>
              <wp:anchor distT="0" distB="0" distL="114300" distR="114300" simplePos="0" relativeHeight="251661312"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1" name="文本框 8"/>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8" o:spid="_x0000_s1026" o:spt="202" type="#_x0000_t202" style="position:absolute;left:0pt;margin-left:224.9pt;margin-top:15.25pt;height:76.95pt;width:46.95pt;z-index:251661312;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bue5NkAAAAKAQAADwAAAAAAAAABACAAAAAi&#10;AAAAZHJzL2Rvd25yZXYueG1sUEsBAhQAFAAAAAgAh07iQOW3Pp8JAgAAIw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pPr>
        <w:spacing w:line="400" w:lineRule="exact"/>
        <w:ind w:firstLine="480" w:firstLineChars="200"/>
        <w:jc w:val="left"/>
        <w:rPr>
          <w:rFonts w:ascii="宋体" w:hAnsi="宋体" w:cs="宋体"/>
          <w:bCs/>
          <w:sz w:val="24"/>
        </w:rPr>
      </w:pPr>
    </w:p>
    <w:p>
      <w:pPr>
        <w:spacing w:line="400" w:lineRule="exact"/>
        <w:ind w:firstLine="2530" w:firstLineChars="1050"/>
        <w:rPr>
          <w:rFonts w:ascii="宋体" w:hAnsi="宋体" w:cs="宋体"/>
          <w:b/>
          <w:bCs/>
          <w:sz w:val="24"/>
        </w:rPr>
      </w:pPr>
      <w:r>
        <w:rPr>
          <w:rFonts w:hint="eastAsia" w:ascii="宋体" w:hAnsi="宋体" w:cs="宋体"/>
          <w:b/>
          <w:bCs/>
          <w:sz w:val="24"/>
        </w:rPr>
        <w:br w:type="page"/>
      </w:r>
    </w:p>
    <w:p>
      <w:pPr>
        <w:spacing w:line="400" w:lineRule="exact"/>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2</w:t>
      </w:r>
      <w:r>
        <w:rPr>
          <w:rFonts w:hint="eastAsia" w:ascii="宋体" w:hAnsi="宋体" w:cs="宋体"/>
          <w:b/>
          <w:bCs/>
          <w:sz w:val="24"/>
        </w:rPr>
        <w:t>：</w:t>
      </w:r>
    </w:p>
    <w:p>
      <w:pPr>
        <w:spacing w:line="360" w:lineRule="auto"/>
        <w:jc w:val="center"/>
        <w:rPr>
          <w:rFonts w:ascii="宋体" w:hAnsi="宋体" w:cs="宋体"/>
          <w:b/>
          <w:bCs/>
          <w:sz w:val="24"/>
        </w:rPr>
      </w:pPr>
      <w:r>
        <w:rPr>
          <w:rFonts w:hint="eastAsia" w:ascii="宋体" w:hAnsi="宋体" w:cs="宋体"/>
          <w:b/>
          <w:bCs/>
          <w:sz w:val="32"/>
          <w:szCs w:val="32"/>
        </w:rPr>
        <w:t>授权委托书（代理人使用）</w:t>
      </w:r>
    </w:p>
    <w:p>
      <w:pPr>
        <w:pStyle w:val="20"/>
        <w:rPr>
          <w:rFonts w:ascii="宋体" w:hAnsi="宋体" w:cs="宋体"/>
        </w:rPr>
      </w:pPr>
    </w:p>
    <w:p>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w:t>
      </w:r>
      <w:r>
        <w:rPr>
          <w:rFonts w:hint="eastAsia" w:ascii="宋体" w:hAnsi="宋体" w:cs="宋体"/>
          <w:sz w:val="24"/>
          <w:lang w:eastAsia="zh-CN"/>
        </w:rPr>
        <w:t>采购文件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w:t>
      </w:r>
    </w:p>
    <w:p>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ascii="宋体" w:hAnsi="宋体" w:cs="宋体"/>
                <w:sz w:val="24"/>
              </w:rPr>
            </w:pPr>
            <w:r>
              <w:rPr>
                <w:rFonts w:hint="eastAsia" w:ascii="宋体" w:hAnsi="宋体" w:cs="宋体"/>
                <w:sz w:val="24"/>
              </w:rPr>
              <w:t>授权代表</w:t>
            </w:r>
            <w:r>
              <w:rPr>
                <w:rFonts w:hint="eastAsia" w:ascii="宋体" w:hAnsi="宋体" w:cs="宋体"/>
                <w:sz w:val="24"/>
                <w:lang w:eastAsia="zh-CN"/>
              </w:rPr>
              <w:t>签字或盖章</w:t>
            </w:r>
            <w:r>
              <w:rPr>
                <w:rFonts w:hint="eastAsia" w:ascii="宋体" w:hAnsi="宋体" w:cs="宋体"/>
                <w:sz w:val="24"/>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ascii="宋体" w:hAnsi="宋体" w:cs="宋体"/>
                <w:sz w:val="24"/>
              </w:rPr>
            </w:pPr>
            <w:r>
              <w:rPr>
                <w:rFonts w:hint="eastAsia" w:ascii="宋体" w:hAnsi="宋体" w:cs="宋体"/>
                <w:sz w:val="24"/>
              </w:rPr>
              <w:t>法定代表人</w:t>
            </w:r>
            <w:r>
              <w:rPr>
                <w:rFonts w:hint="eastAsia" w:ascii="宋体" w:hAnsi="宋体" w:cs="宋体"/>
                <w:sz w:val="24"/>
                <w:lang w:eastAsia="zh-CN"/>
              </w:rPr>
              <w:t>签字或盖章</w:t>
            </w:r>
            <w:r>
              <w:rPr>
                <w:rFonts w:hint="eastAsia" w:ascii="宋体" w:hAnsi="宋体" w:cs="宋体"/>
                <w:sz w:val="24"/>
              </w:rPr>
              <w:t>：</w:t>
            </w:r>
          </w:p>
        </w:tc>
      </w:tr>
      <w:tr>
        <w:tblPrEx>
          <w:tblCellMar>
            <w:top w:w="0" w:type="dxa"/>
            <w:left w:w="108" w:type="dxa"/>
            <w:bottom w:w="0" w:type="dxa"/>
            <w:right w:w="108" w:type="dxa"/>
          </w:tblCellMar>
        </w:tblPrEx>
        <w:trPr>
          <w:trHeight w:val="80" w:hRule="atLeast"/>
        </w:trPr>
        <w:tc>
          <w:tcPr>
            <w:tcW w:w="4729" w:type="dxa"/>
          </w:tcPr>
          <w:p>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pPr>
        <w:spacing w:line="360" w:lineRule="auto"/>
        <w:rPr>
          <w:rFonts w:ascii="宋体" w:hAnsi="宋体" w:cs="宋体"/>
          <w:sz w:val="24"/>
        </w:rPr>
      </w:pPr>
      <w:r>
        <w:rPr>
          <w:rFonts w:hint="eastAsia" w:ascii="宋体" w:hAnsi="宋体" w:cs="宋体"/>
          <w:sz w:val="24"/>
        </w:rPr>
        <w:t>法定代表人身份证复印件：</w:t>
      </w:r>
    </w:p>
    <w:p>
      <w:pPr>
        <w:pStyle w:val="5"/>
        <w:rPr>
          <w:rFonts w:hAnsi="宋体" w:cs="宋体"/>
        </w:rPr>
      </w:pPr>
      <w:r>
        <w:rPr>
          <w:rFonts w:hAnsi="宋体" w:cs="宋体"/>
        </w:rPr>
        <mc:AlternateContent>
          <mc:Choice Requires="wps">
            <w:drawing>
              <wp:anchor distT="0" distB="0" distL="114300" distR="114300" simplePos="0" relativeHeight="251662336"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7"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1.3pt;margin-top:15.1pt;height:76.95pt;width:46.95pt;z-index:251662336;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PvZ36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p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D72d+l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pPr>
        <w:spacing w:line="360" w:lineRule="auto"/>
        <w:rPr>
          <w:rFonts w:hint="eastAsia" w:ascii="宋体" w:hAnsi="宋体" w:cs="宋体"/>
          <w:sz w:val="24"/>
        </w:rPr>
      </w:pPr>
      <w:r>
        <w:rPr>
          <w:rFonts w:hint="eastAsia" w:ascii="宋体" w:hAnsi="宋体" w:cs="宋体"/>
          <w:sz w:val="24"/>
          <w:lang w:eastAsia="zh-CN"/>
        </w:rPr>
        <w:t>授</w:t>
      </w:r>
      <w:r>
        <w:rPr>
          <w:rFonts w:hint="eastAsia" w:ascii="宋体" w:hAnsi="宋体" w:cs="宋体"/>
          <w:sz w:val="24"/>
        </w:rPr>
        <w:t>代表人身份证复印件：</w:t>
      </w:r>
    </w:p>
    <w:p>
      <w:pPr>
        <w:pStyle w:val="46"/>
        <w:spacing w:line="380" w:lineRule="exact"/>
        <w:rPr>
          <w:rFonts w:hint="eastAsia" w:hAnsi="宋体" w:eastAsia="宋体" w:cs="宋体"/>
          <w:b/>
          <w:sz w:val="24"/>
          <w:szCs w:val="24"/>
        </w:rPr>
      </w:pPr>
      <w:r>
        <w:rPr>
          <w:rFonts w:hAnsi="宋体" w:cs="宋体"/>
        </w:rPr>
        <mc:AlternateContent>
          <mc:Choice Requires="wps">
            <w:drawing>
              <wp:anchor distT="0" distB="0" distL="114300" distR="114300" simplePos="0" relativeHeight="251663360"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3"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3.55pt;margin-top:17.5pt;height:76.95pt;width:46.95pt;z-index:251663360;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6XIfPZAAAACgEAAA8AAAAAAAAAAQAgAAAA&#10;IgAAAGRycy9kb3ducmV2LnhtbFBLAQIUABQAAAAIAIdO4kA2hGBz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anchor distT="0" distB="0" distL="114935" distR="114935" simplePos="0" relativeHeight="251660288"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pPr>
        <w:pStyle w:val="46"/>
        <w:spacing w:line="380" w:lineRule="exact"/>
        <w:rPr>
          <w:rFonts w:hint="eastAsia" w:hAnsi="宋体" w:eastAsia="宋体" w:cs="宋体"/>
          <w:b/>
          <w:sz w:val="24"/>
          <w:szCs w:val="24"/>
        </w:rPr>
      </w:pPr>
    </w:p>
    <w:p>
      <w:pPr>
        <w:pStyle w:val="46"/>
        <w:spacing w:line="380" w:lineRule="exact"/>
        <w:rPr>
          <w:rFonts w:hint="eastAsia" w:hAnsi="宋体" w:eastAsia="宋体" w:cs="宋体"/>
          <w:b/>
          <w:sz w:val="24"/>
          <w:szCs w:val="24"/>
        </w:rPr>
      </w:pPr>
    </w:p>
    <w:p>
      <w:pPr>
        <w:pStyle w:val="46"/>
        <w:spacing w:line="380" w:lineRule="exact"/>
        <w:rPr>
          <w:rFonts w:hint="eastAsia" w:hAnsi="宋体" w:eastAsia="宋体" w:cs="宋体"/>
          <w:b/>
          <w:sz w:val="24"/>
          <w:szCs w:val="24"/>
        </w:rPr>
      </w:pPr>
    </w:p>
    <w:p>
      <w:pPr>
        <w:pStyle w:val="46"/>
        <w:spacing w:line="380" w:lineRule="exact"/>
        <w:rPr>
          <w:rFonts w:hint="eastAsia" w:hAnsi="宋体" w:eastAsia="宋体" w:cs="宋体"/>
          <w:b/>
          <w:sz w:val="24"/>
          <w:szCs w:val="24"/>
        </w:rPr>
      </w:pPr>
    </w:p>
    <w:p>
      <w:pPr>
        <w:pStyle w:val="46"/>
        <w:spacing w:line="380" w:lineRule="exact"/>
        <w:rPr>
          <w:rFonts w:hint="eastAsia" w:hAnsi="宋体" w:eastAsia="宋体" w:cs="宋体"/>
          <w:b/>
          <w:sz w:val="24"/>
          <w:szCs w:val="24"/>
        </w:rPr>
      </w:pPr>
    </w:p>
    <w:p>
      <w:pPr>
        <w:pStyle w:val="46"/>
        <w:spacing w:line="380" w:lineRule="exact"/>
        <w:rPr>
          <w:rFonts w:hint="eastAsia" w:hAnsi="宋体" w:eastAsia="宋体" w:cs="宋体"/>
          <w:b/>
          <w:sz w:val="24"/>
          <w:szCs w:val="24"/>
        </w:rPr>
      </w:pPr>
    </w:p>
    <w:p>
      <w:pPr>
        <w:pStyle w:val="46"/>
        <w:spacing w:line="380" w:lineRule="exact"/>
        <w:rPr>
          <w:rFonts w:hint="eastAsia" w:hAnsi="宋体" w:eastAsia="宋体" w:cs="宋体"/>
          <w:b/>
          <w:sz w:val="24"/>
          <w:szCs w:val="24"/>
        </w:rPr>
      </w:pP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备注：</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1、法定代表人参加投标的，提供法人资格证明和本人身份证原件。</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2、委托代理人参加投标的，提供授权委托书和本人身份证原件。</w:t>
      </w:r>
    </w:p>
    <w:p>
      <w:pPr>
        <w:pStyle w:val="46"/>
        <w:spacing w:line="380" w:lineRule="exact"/>
        <w:rPr>
          <w:rFonts w:hint="eastAsia" w:hAnsi="宋体" w:eastAsia="宋体" w:cs="宋体"/>
          <w:b/>
          <w:sz w:val="24"/>
          <w:szCs w:val="24"/>
        </w:rPr>
      </w:pPr>
    </w:p>
    <w:p>
      <w:pPr>
        <w:rPr>
          <w:rFonts w:hint="eastAsia" w:hAnsi="宋体" w:eastAsia="宋体" w:cs="宋体"/>
          <w:b/>
          <w:color w:val="auto"/>
          <w:sz w:val="24"/>
          <w:szCs w:val="24"/>
        </w:rPr>
      </w:pPr>
      <w:r>
        <w:rPr>
          <w:rFonts w:hint="eastAsia" w:hAnsi="宋体" w:eastAsia="宋体" w:cs="宋体"/>
          <w:b/>
          <w:color w:val="auto"/>
          <w:sz w:val="24"/>
          <w:szCs w:val="24"/>
        </w:rPr>
        <w:br w:type="page"/>
      </w:r>
    </w:p>
    <w:p>
      <w:pPr>
        <w:pStyle w:val="46"/>
        <w:spacing w:line="380" w:lineRule="exact"/>
        <w:rPr>
          <w:rFonts w:hint="eastAsia" w:ascii="宋体" w:hAnsi="宋体" w:eastAsia="宋体" w:cs="宋体"/>
          <w:b/>
          <w:color w:val="auto"/>
          <w:sz w:val="24"/>
          <w:szCs w:val="24"/>
        </w:rPr>
      </w:pPr>
      <w:r>
        <w:rPr>
          <w:rFonts w:hint="eastAsia" w:hAnsi="宋体" w:eastAsia="宋体" w:cs="宋体"/>
          <w:b/>
          <w:color w:val="auto"/>
          <w:sz w:val="24"/>
          <w:szCs w:val="24"/>
        </w:rPr>
        <w:t>附</w:t>
      </w:r>
      <w:r>
        <w:rPr>
          <w:rFonts w:hint="eastAsia" w:hAnsi="宋体" w:eastAsia="宋体" w:cs="宋体"/>
          <w:b/>
          <w:color w:val="auto"/>
          <w:sz w:val="24"/>
          <w:szCs w:val="24"/>
          <w:lang w:val="en-US" w:eastAsia="zh-CN"/>
        </w:rPr>
        <w:t>3</w:t>
      </w:r>
      <w:r>
        <w:rPr>
          <w:rFonts w:hint="eastAsia" w:hAnsi="宋体" w:eastAsia="宋体" w:cs="宋体"/>
          <w:b/>
          <w:color w:val="auto"/>
          <w:sz w:val="24"/>
          <w:szCs w:val="24"/>
        </w:rPr>
        <w:t>：</w:t>
      </w:r>
    </w:p>
    <w:p>
      <w:pPr>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rPr>
          <w:rFonts w:hint="eastAsia" w:ascii="宋体" w:hAnsi="宋体" w:eastAsia="宋体" w:cs="宋体"/>
          <w:b/>
          <w:bCs/>
          <w:sz w:val="32"/>
          <w:szCs w:val="32"/>
        </w:rPr>
      </w:pPr>
      <w:r>
        <w:rPr>
          <w:rFonts w:hint="eastAsia" w:ascii="宋体" w:hAnsi="宋体" w:cs="宋体"/>
          <w:b/>
          <w:bCs/>
          <w:sz w:val="32"/>
          <w:szCs w:val="32"/>
          <w:lang w:eastAsia="zh-CN"/>
        </w:rPr>
        <w:t>供应商响应函</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致</w:t>
      </w:r>
      <w:r>
        <w:rPr>
          <w:rFonts w:hint="eastAsia" w:ascii="宋体" w:hAnsi="宋体" w:eastAsia="宋体" w:cs="宋体"/>
          <w:kern w:val="0"/>
          <w:sz w:val="24"/>
          <w:szCs w:val="24"/>
          <w:lang w:eastAsia="zh-CN"/>
        </w:rPr>
        <w:t>：常州</w:t>
      </w:r>
      <w:r>
        <w:rPr>
          <w:rFonts w:hint="eastAsia" w:ascii="宋体" w:hAnsi="宋体" w:cs="宋体"/>
          <w:kern w:val="0"/>
          <w:sz w:val="24"/>
          <w:szCs w:val="24"/>
          <w:lang w:eastAsia="zh-CN"/>
        </w:rPr>
        <w:t>新禾</w:t>
      </w:r>
      <w:r>
        <w:rPr>
          <w:rFonts w:hint="eastAsia" w:ascii="宋体" w:hAnsi="宋体" w:eastAsia="宋体" w:cs="宋体"/>
          <w:kern w:val="0"/>
          <w:sz w:val="24"/>
          <w:szCs w:val="24"/>
          <w:lang w:eastAsia="zh-CN"/>
        </w:rPr>
        <w:t>招投标有限公司</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我方收到</w:t>
      </w:r>
      <w:r>
        <w:rPr>
          <w:rFonts w:hint="eastAsia" w:ascii="宋体" w:hAnsi="宋体" w:eastAsia="宋体" w:cs="宋体"/>
          <w:sz w:val="24"/>
          <w:szCs w:val="24"/>
          <w:lang w:eastAsia="zh-CN"/>
        </w:rPr>
        <w:t>贵单位</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cs="宋体"/>
          <w:sz w:val="24"/>
          <w:szCs w:val="24"/>
          <w:lang w:eastAsia="zh-CN"/>
        </w:rPr>
        <w:t>采购文件</w:t>
      </w:r>
      <w:r>
        <w:rPr>
          <w:rFonts w:hint="eastAsia" w:ascii="宋体" w:hAnsi="宋体" w:eastAsia="宋体" w:cs="宋体"/>
          <w:sz w:val="24"/>
          <w:szCs w:val="24"/>
        </w:rPr>
        <w:t>，经仔细阅读和研究，我们决定参加该项目的</w:t>
      </w:r>
      <w:r>
        <w:rPr>
          <w:rFonts w:hint="eastAsia" w:ascii="宋体" w:hAnsi="宋体" w:cs="宋体"/>
          <w:sz w:val="24"/>
          <w:szCs w:val="24"/>
          <w:lang w:eastAsia="zh-CN"/>
        </w:rPr>
        <w:t>报价</w:t>
      </w:r>
      <w:r>
        <w:rPr>
          <w:rFonts w:hint="eastAsia" w:ascii="宋体" w:hAnsi="宋体" w:eastAsia="宋体" w:cs="宋体"/>
          <w:sz w:val="24"/>
          <w:szCs w:val="24"/>
        </w:rPr>
        <w:t>，承诺</w:t>
      </w:r>
      <w:r>
        <w:rPr>
          <w:rFonts w:hint="eastAsia" w:ascii="宋体" w:hAnsi="宋体" w:eastAsia="宋体" w:cs="宋体"/>
          <w:kern w:val="0"/>
          <w:sz w:val="24"/>
          <w:szCs w:val="24"/>
        </w:rPr>
        <w:t>如下：</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1、我单位愿意按照采购文件的一切要求，提供包括完成该项目的服务。报价详见《报价表》。拟项目负责人为</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2、如果我单位的响应文件被接受，我单位将严格履行采购文件中规定的每一项要求，按期、按质、按量履行合同的义务，并承担履行合同时产生的一切责任和风险。</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3、我单位同意按采购文件中的规定，本响应文件的有效期为开标后</w:t>
      </w:r>
      <w:r>
        <w:rPr>
          <w:rFonts w:hint="eastAsia" w:ascii="宋体" w:hAnsi="宋体" w:eastAsia="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天。同时同意在有效期内严格遵守本响应文件的各项承诺。在此期限界满之前，本响应文件始终将对我方具有约束力，并随时接受成交。</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4、我单位愿意提供采购方在采购文件中要求的所有资料。并保证其组成部分均是真实的、正确的，若有虚假和违背，我单位愿意承受由此产生的一切后果。</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5、我单位认为你们有权决定成交供应商，还认为你们有权接受或拒绝所有的投标者。</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kern w:val="0"/>
          <w:sz w:val="24"/>
          <w:szCs w:val="24"/>
        </w:rPr>
        <w:t>6、我单位承诺该项投标在开标后的全过程中保持有效，不做任何更改和变动。</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供应商（盖章）：  </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cs="宋体"/>
          <w:sz w:val="24"/>
          <w:szCs w:val="24"/>
          <w:lang w:eastAsia="zh-CN"/>
        </w:rPr>
        <w:t>签字或盖章</w:t>
      </w:r>
      <w:r>
        <w:rPr>
          <w:rFonts w:hint="eastAsia" w:ascii="宋体" w:hAnsi="宋体" w:eastAsia="宋体" w:cs="宋体"/>
          <w:sz w:val="24"/>
          <w:szCs w:val="24"/>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电话：                            传真：</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                            邮编：</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开户名称：</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 xml:space="preserve">    开户账号：</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rPr>
          <w:rFonts w:hint="eastAsia" w:ascii="宋体" w:hAnsi="宋体" w:eastAsia="宋体"/>
          <w:b/>
          <w:bCs/>
          <w:color w:val="auto"/>
          <w:sz w:val="24"/>
          <w:szCs w:val="24"/>
        </w:rPr>
      </w:pPr>
      <w:r>
        <w:rPr>
          <w:rFonts w:hint="eastAsia" w:ascii="宋体" w:hAnsi="宋体" w:eastAsia="宋体"/>
          <w:b/>
          <w:bCs/>
          <w:color w:val="auto"/>
          <w:sz w:val="24"/>
          <w:szCs w:val="24"/>
        </w:rPr>
        <w:br w:type="page"/>
      </w:r>
    </w:p>
    <w:p>
      <w:pPr>
        <w:pageBreakBefore w:val="0"/>
        <w:kinsoku/>
        <w:wordWrap/>
        <w:topLinePunct w:val="0"/>
        <w:bidi w:val="0"/>
        <w:adjustRightInd w:val="0"/>
        <w:snapToGrid w:val="0"/>
        <w:spacing w:line="360" w:lineRule="auto"/>
        <w:rPr>
          <w:rFonts w:ascii="宋体" w:hAnsi="宋体" w:cs="黑体"/>
          <w:color w:val="auto"/>
          <w:sz w:val="28"/>
          <w:szCs w:val="28"/>
        </w:rPr>
      </w:pPr>
      <w:r>
        <w:rPr>
          <w:rFonts w:hint="eastAsia" w:ascii="宋体" w:hAnsi="宋体" w:eastAsia="宋体"/>
          <w:b/>
          <w:bCs/>
          <w:color w:val="auto"/>
          <w:sz w:val="24"/>
          <w:szCs w:val="24"/>
        </w:rPr>
        <w:t>附</w:t>
      </w:r>
      <w:r>
        <w:rPr>
          <w:rFonts w:hint="eastAsia" w:ascii="宋体" w:hAnsi="宋体"/>
          <w:b/>
          <w:bCs/>
          <w:color w:val="auto"/>
          <w:sz w:val="24"/>
          <w:szCs w:val="24"/>
          <w:lang w:val="en-US" w:eastAsia="zh-CN"/>
        </w:rPr>
        <w:t>4</w:t>
      </w:r>
      <w:r>
        <w:rPr>
          <w:rFonts w:hint="eastAsia" w:ascii="宋体" w:hAnsi="宋体" w:eastAsia="宋体"/>
          <w:b/>
          <w:bCs/>
          <w:color w:val="auto"/>
          <w:sz w:val="24"/>
          <w:szCs w:val="24"/>
        </w:rPr>
        <w:t>：</w:t>
      </w:r>
    </w:p>
    <w:p>
      <w:pPr>
        <w:pStyle w:val="5"/>
        <w:keepNext w:val="0"/>
        <w:keepLines w:val="0"/>
        <w:pageBreakBefore w:val="0"/>
        <w:widowControl w:val="0"/>
        <w:kinsoku/>
        <w:wordWrap/>
        <w:overflowPunct w:val="0"/>
        <w:topLinePunct w:val="0"/>
        <w:autoSpaceDE w:val="0"/>
        <w:autoSpaceDN w:val="0"/>
        <w:bidi w:val="0"/>
        <w:adjustRightInd w:val="0"/>
        <w:snapToGrid/>
        <w:spacing w:after="157" w:afterLines="50" w:line="240" w:lineRule="auto"/>
        <w:ind w:firstLine="0"/>
        <w:jc w:val="center"/>
        <w:textAlignment w:val="auto"/>
        <w:rPr>
          <w:rFonts w:hAnsi="宋体" w:cs="宋体"/>
          <w:b/>
          <w:color w:val="auto"/>
          <w:sz w:val="32"/>
          <w:szCs w:val="32"/>
        </w:rPr>
      </w:pPr>
      <w:r>
        <w:rPr>
          <w:rFonts w:hint="eastAsia" w:hAnsi="宋体" w:cs="宋体"/>
          <w:b/>
          <w:color w:val="auto"/>
          <w:sz w:val="32"/>
          <w:szCs w:val="32"/>
          <w:lang w:eastAsia="zh-CN"/>
        </w:rPr>
        <w:t>符合政府采购供应商资格</w:t>
      </w:r>
      <w:r>
        <w:rPr>
          <w:rFonts w:hint="eastAsia" w:hAnsi="宋体" w:cs="宋体"/>
          <w:b/>
          <w:color w:val="auto"/>
          <w:sz w:val="32"/>
          <w:szCs w:val="32"/>
        </w:rPr>
        <w:t>书面声明</w:t>
      </w:r>
    </w:p>
    <w:p>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我单位参与本项目报价，郑重声明：我单位未被列入失信被执行人、重大税收违法案件当事人、政府采购严重违法失信行记录名单及存在其他不符合《中华人民共和国政府采购法》第二十二条规定条件。</w:t>
      </w:r>
    </w:p>
    <w:p>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我</w:t>
      </w:r>
      <w:r>
        <w:rPr>
          <w:rFonts w:hint="eastAsia" w:ascii="宋体" w:hAnsi="宋体"/>
          <w:color w:val="auto"/>
          <w:sz w:val="24"/>
          <w:lang w:eastAsia="zh-CN"/>
        </w:rPr>
        <w:t>方</w:t>
      </w:r>
      <w:r>
        <w:rPr>
          <w:rFonts w:hint="eastAsia" w:ascii="宋体" w:hAnsi="宋体"/>
          <w:color w:val="auto"/>
          <w:sz w:val="24"/>
        </w:rPr>
        <w:t>参加本次采购活动前 3 年内，在经营活动中无重大违法活动记录，没有因违法经营受到刑事处罚或者责令停产停业、吊销许可证或者执照、较大数额罚款等行政处罚。</w:t>
      </w:r>
    </w:p>
    <w:p>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 xml:space="preserve">我单位对上述声明的真实性负责。如有虚假，将依法承担相应责任。 </w:t>
      </w:r>
    </w:p>
    <w:p>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特此声明。</w:t>
      </w:r>
    </w:p>
    <w:p>
      <w:pPr>
        <w:adjustRightInd w:val="0"/>
        <w:snapToGrid w:val="0"/>
        <w:spacing w:line="360" w:lineRule="auto"/>
        <w:rPr>
          <w:rFonts w:hint="eastAsia" w:ascii="宋体" w:hAnsi="宋体"/>
          <w:color w:val="auto"/>
          <w:sz w:val="24"/>
          <w:lang w:eastAsia="zh-CN"/>
        </w:rPr>
      </w:pPr>
    </w:p>
    <w:p>
      <w:pPr>
        <w:adjustRightInd w:val="0"/>
        <w:snapToGrid w:val="0"/>
        <w:spacing w:line="360" w:lineRule="auto"/>
        <w:rPr>
          <w:rFonts w:hint="eastAsia"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s="宋体"/>
          <w:b/>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pPr>
        <w:pageBreakBefore w:val="0"/>
        <w:kinsoku/>
        <w:wordWrap/>
        <w:topLinePunct w:val="0"/>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w:t>
      </w:r>
    </w:p>
    <w:p>
      <w:pPr>
        <w:pageBreakBefore w:val="0"/>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报价一览表</w:t>
      </w:r>
    </w:p>
    <w:p>
      <w:pPr>
        <w:pStyle w:val="48"/>
        <w:pageBreakBefore w:val="0"/>
        <w:kinsoku/>
        <w:wordWrap/>
        <w:topLinePunct w:val="0"/>
        <w:bidi w:val="0"/>
        <w:adjustRightInd w:val="0"/>
        <w:snapToGrid w:val="0"/>
        <w:spacing w:line="360" w:lineRule="auto"/>
        <w:ind w:firstLine="480"/>
        <w:rPr>
          <w:rFonts w:ascii="宋体" w:hAnsi="宋体" w:cs="宋体"/>
          <w:color w:val="auto"/>
          <w:szCs w:val="24"/>
          <w:highlight w:val="none"/>
        </w:rPr>
      </w:pPr>
    </w:p>
    <w:p>
      <w:pPr>
        <w:pageBreakBefore w:val="0"/>
        <w:kinsoku/>
        <w:wordWrap/>
        <w:topLinePunct w:val="0"/>
        <w:bidi w:val="0"/>
        <w:adjustRightInd w:val="0"/>
        <w:snapToGrid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1"/>
        <w:tblW w:w="9960" w:type="dxa"/>
        <w:jc w:val="center"/>
        <w:tblLayout w:type="fixed"/>
        <w:tblCellMar>
          <w:top w:w="0" w:type="dxa"/>
          <w:left w:w="0" w:type="dxa"/>
          <w:bottom w:w="0" w:type="dxa"/>
          <w:right w:w="0" w:type="dxa"/>
        </w:tblCellMar>
      </w:tblPr>
      <w:tblGrid>
        <w:gridCol w:w="2222"/>
        <w:gridCol w:w="7738"/>
      </w:tblGrid>
      <w:tr>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编号</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总价</w:t>
            </w:r>
          </w:p>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（人民币：元）</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480" w:lineRule="auto"/>
              <w:ind w:firstLine="48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小写： </w:t>
            </w:r>
            <w:r>
              <w:rPr>
                <w:rFonts w:hint="eastAsia" w:ascii="宋体" w:hAnsi="宋体" w:eastAsia="宋体" w:cs="宋体"/>
                <w:color w:val="000000"/>
                <w:sz w:val="24"/>
                <w:szCs w:val="24"/>
                <w:u w:val="single"/>
              </w:rPr>
              <w:t xml:space="preserve">                              元</w:t>
            </w:r>
          </w:p>
          <w:p>
            <w:pPr>
              <w:widowControl/>
              <w:spacing w:line="48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元</w:t>
            </w:r>
          </w:p>
        </w:tc>
      </w:tr>
    </w:tbl>
    <w:p>
      <w:pPr>
        <w:pageBreakBefore w:val="0"/>
        <w:kinsoku/>
        <w:wordWrap/>
        <w:topLinePunct w:val="0"/>
        <w:bidi w:val="0"/>
        <w:adjustRightInd w:val="0"/>
        <w:snapToGrid w:val="0"/>
        <w:spacing w:line="360" w:lineRule="auto"/>
        <w:rPr>
          <w:rFonts w:ascii="宋体" w:hAnsi="宋体" w:cs="宋体"/>
          <w:color w:val="auto"/>
          <w:sz w:val="24"/>
          <w:highlight w:val="none"/>
        </w:rPr>
      </w:pPr>
    </w:p>
    <w:p>
      <w:pPr>
        <w:snapToGrid w:val="0"/>
        <w:spacing w:line="360" w:lineRule="auto"/>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rPr>
          <w:rFonts w:hint="eastAsia" w:ascii="宋体" w:hAnsi="宋体" w:cs="宋体"/>
          <w:b/>
          <w:sz w:val="24"/>
        </w:rPr>
      </w:pPr>
      <w:r>
        <w:rPr>
          <w:rFonts w:hint="eastAsia" w:ascii="宋体" w:hAnsi="宋体" w:cs="宋体"/>
          <w:b/>
          <w:sz w:val="24"/>
        </w:rPr>
        <w:br w:type="page"/>
      </w:r>
    </w:p>
    <w:p>
      <w:pPr>
        <w:rPr>
          <w:rFonts w:ascii="宋体" w:hAnsi="宋体" w:cs="宋体"/>
          <w:b/>
          <w:color w:val="FF0000"/>
          <w:sz w:val="24"/>
        </w:rPr>
      </w:pPr>
      <w:r>
        <w:rPr>
          <w:rFonts w:hint="eastAsia" w:ascii="宋体" w:hAnsi="宋体" w:cs="宋体"/>
          <w:b/>
          <w:sz w:val="24"/>
        </w:rPr>
        <w:t>附</w:t>
      </w:r>
      <w:r>
        <w:rPr>
          <w:rFonts w:hint="eastAsia" w:ascii="宋体" w:hAnsi="宋体" w:cs="宋体"/>
          <w:b/>
          <w:sz w:val="24"/>
          <w:lang w:val="en-US" w:eastAsia="zh-CN"/>
        </w:rPr>
        <w:t>6</w:t>
      </w:r>
      <w:r>
        <w:rPr>
          <w:rFonts w:hint="eastAsia" w:ascii="宋体" w:hAnsi="宋体" w:cs="宋体"/>
          <w:b/>
          <w:sz w:val="24"/>
        </w:rPr>
        <w:t>：</w:t>
      </w:r>
    </w:p>
    <w:p>
      <w:pPr>
        <w:jc w:val="center"/>
        <w:rPr>
          <w:rFonts w:ascii="宋体" w:hAnsi="宋体" w:cs="宋体"/>
          <w:b/>
          <w:sz w:val="32"/>
        </w:rPr>
      </w:pPr>
      <w:r>
        <w:rPr>
          <w:rFonts w:hint="eastAsia" w:ascii="宋体" w:hAnsi="宋体" w:cs="宋体"/>
          <w:b/>
          <w:sz w:val="32"/>
        </w:rPr>
        <w:t>报价明细表</w:t>
      </w:r>
    </w:p>
    <w:p>
      <w:pPr>
        <w:snapToGrid w:val="0"/>
        <w:spacing w:line="360" w:lineRule="auto"/>
        <w:jc w:val="right"/>
        <w:rPr>
          <w:rFonts w:ascii="宋体" w:hAnsi="宋体" w:cs="宋体"/>
          <w:szCs w:val="21"/>
        </w:rPr>
      </w:pPr>
      <w:r>
        <w:rPr>
          <w:rFonts w:hint="eastAsia" w:ascii="宋体" w:hAnsi="宋体" w:cs="宋体"/>
          <w:sz w:val="24"/>
        </w:rPr>
        <w:t>单位（元）：人民币</w:t>
      </w:r>
    </w:p>
    <w:tbl>
      <w:tblPr>
        <w:tblStyle w:val="21"/>
        <w:tblW w:w="9958" w:type="dxa"/>
        <w:jc w:val="center"/>
        <w:tblLayout w:type="fixed"/>
        <w:tblCellMar>
          <w:top w:w="0" w:type="dxa"/>
          <w:left w:w="0" w:type="dxa"/>
          <w:bottom w:w="0" w:type="dxa"/>
          <w:right w:w="0" w:type="dxa"/>
        </w:tblCellMar>
      </w:tblPr>
      <w:tblGrid>
        <w:gridCol w:w="1005"/>
        <w:gridCol w:w="2064"/>
        <w:gridCol w:w="1695"/>
        <w:gridCol w:w="1327"/>
        <w:gridCol w:w="1265"/>
        <w:gridCol w:w="1241"/>
        <w:gridCol w:w="1357"/>
        <w:gridCol w:w="4"/>
      </w:tblGrid>
      <w:tr>
        <w:tblPrEx>
          <w:tblCellMar>
            <w:top w:w="0" w:type="dxa"/>
            <w:left w:w="0" w:type="dxa"/>
            <w:bottom w:w="0" w:type="dxa"/>
            <w:right w:w="0" w:type="dxa"/>
          </w:tblCellMar>
        </w:tblPrEx>
        <w:trPr>
          <w:trHeight w:val="624" w:hRule="atLeast"/>
          <w:jc w:val="center"/>
        </w:trPr>
        <w:tc>
          <w:tcPr>
            <w:tcW w:w="10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20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lang w:eastAsia="zh-CN"/>
              </w:rPr>
            </w:pPr>
            <w:r>
              <w:rPr>
                <w:rFonts w:hint="eastAsia" w:ascii="宋体" w:hAnsi="宋体" w:cs="宋体"/>
                <w:b/>
                <w:bCs/>
                <w:color w:val="000000"/>
                <w:sz w:val="24"/>
                <w:szCs w:val="24"/>
                <w:lang w:eastAsia="zh-CN"/>
              </w:rPr>
              <w:t>内容</w:t>
            </w:r>
          </w:p>
        </w:tc>
        <w:tc>
          <w:tcPr>
            <w:tcW w:w="169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lang w:eastAsia="zh-CN"/>
              </w:rPr>
            </w:pPr>
            <w:r>
              <w:rPr>
                <w:rFonts w:hint="eastAsia" w:ascii="宋体" w:hAnsi="宋体" w:cs="宋体"/>
                <w:b/>
                <w:bCs/>
                <w:color w:val="000000"/>
                <w:sz w:val="24"/>
                <w:szCs w:val="24"/>
                <w:lang w:eastAsia="zh-CN"/>
              </w:rPr>
              <w:t>具体说明</w:t>
            </w:r>
          </w:p>
        </w:tc>
        <w:tc>
          <w:tcPr>
            <w:tcW w:w="1327"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1265"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12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单价</w:t>
            </w:r>
          </w:p>
        </w:tc>
        <w:tc>
          <w:tcPr>
            <w:tcW w:w="1361" w:type="dxa"/>
            <w:gridSpan w:val="2"/>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总价</w:t>
            </w:r>
          </w:p>
        </w:tc>
      </w:tr>
      <w:tr>
        <w:tblPrEx>
          <w:tblCellMar>
            <w:top w:w="0" w:type="dxa"/>
            <w:left w:w="0" w:type="dxa"/>
            <w:bottom w:w="0" w:type="dxa"/>
            <w:right w:w="0" w:type="dxa"/>
          </w:tblCellMar>
        </w:tblPrEx>
        <w:trPr>
          <w:trHeight w:val="624" w:hRule="atLeast"/>
          <w:jc w:val="center"/>
        </w:trPr>
        <w:tc>
          <w:tcPr>
            <w:tcW w:w="10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0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69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327"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265"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2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361" w:type="dxa"/>
            <w:gridSpan w:val="2"/>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0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0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69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327"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265"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2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361" w:type="dxa"/>
            <w:gridSpan w:val="2"/>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0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0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69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327"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265"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2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361" w:type="dxa"/>
            <w:gridSpan w:val="2"/>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0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0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69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1327"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1265"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12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1361" w:type="dxa"/>
            <w:gridSpan w:val="2"/>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0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20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1695" w:type="dxa"/>
            <w:tcBorders>
              <w:top w:val="single" w:color="000000" w:sz="6" w:space="0"/>
              <w:left w:val="single" w:color="auto" w:sz="4"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1327"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1265"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12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1361" w:type="dxa"/>
            <w:gridSpan w:val="2"/>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gridAfter w:val="1"/>
          <w:wAfter w:w="4" w:type="dxa"/>
          <w:trHeight w:val="624" w:hRule="atLeast"/>
          <w:jc w:val="center"/>
        </w:trPr>
        <w:tc>
          <w:tcPr>
            <w:tcW w:w="3069"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合计（人民币：）</w:t>
            </w:r>
          </w:p>
        </w:tc>
        <w:tc>
          <w:tcPr>
            <w:tcW w:w="6885" w:type="dxa"/>
            <w:gridSpan w:val="5"/>
            <w:tcBorders>
              <w:top w:val="single" w:color="000000" w:sz="6" w:space="0"/>
              <w:left w:val="single" w:color="auto" w:sz="4"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小写：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tc>
      </w:tr>
    </w:tbl>
    <w:p>
      <w:pPr>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r>
        <w:rPr>
          <w:rFonts w:hint="eastAsia" w:ascii="宋体" w:hAnsi="宋体" w:cs="宋体"/>
          <w:sz w:val="24"/>
          <w:szCs w:val="24"/>
          <w:lang w:eastAsia="zh-CN"/>
        </w:rPr>
        <w:t>注：1、本报价明细表的“项目总价之和”应与“报价一览表”投标总价一致。</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2、各供应商应根据此表格式按项目分别填写报价详细清单。</w:t>
      </w:r>
    </w:p>
    <w:p>
      <w:pPr>
        <w:pStyle w:val="19"/>
        <w:rPr>
          <w:rFonts w:hint="eastAsia"/>
          <w:lang w:eastAsia="zh-CN"/>
        </w:rPr>
      </w:pP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rPr>
          <w:rFonts w:hint="eastAsia" w:ascii="宋体" w:hAnsi="宋体" w:cs="宋体"/>
          <w:b/>
          <w:color w:val="auto"/>
          <w:sz w:val="24"/>
          <w:highlight w:val="none"/>
        </w:rPr>
      </w:pPr>
      <w:r>
        <w:rPr>
          <w:rFonts w:hint="eastAsia" w:ascii="宋体" w:hAnsi="宋体" w:cs="宋体"/>
          <w:b/>
          <w:color w:val="auto"/>
          <w:sz w:val="24"/>
          <w:highlight w:val="none"/>
        </w:rPr>
        <w:br w:type="page"/>
      </w: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7</w:t>
      </w:r>
      <w:r>
        <w:rPr>
          <w:rFonts w:hint="eastAsia" w:hAnsi="宋体" w:cs="宋体"/>
          <w:b/>
          <w:color w:val="auto"/>
          <w:highlight w:val="none"/>
        </w:rPr>
        <w:t>:</w:t>
      </w:r>
    </w:p>
    <w:p>
      <w:pPr>
        <w:pageBreakBefore w:val="0"/>
        <w:numPr>
          <w:ins w:id="0" w:author="微软用户" w:date=""/>
        </w:numPr>
        <w:kinsoku/>
        <w:wordWrap/>
        <w:topLinePunct w:val="0"/>
        <w:bidi w:val="0"/>
        <w:adjustRightInd w:val="0"/>
        <w:snapToGrid w:val="0"/>
        <w:spacing w:line="360" w:lineRule="auto"/>
        <w:jc w:val="center"/>
        <w:rPr>
          <w:rFonts w:ascii="宋体" w:hAnsi="宋体" w:cs="宋体"/>
          <w:color w:val="auto"/>
          <w:sz w:val="22"/>
          <w:highlight w:val="none"/>
        </w:rPr>
      </w:pPr>
      <w:r>
        <w:rPr>
          <w:rFonts w:hint="eastAsia" w:ascii="宋体" w:hAnsi="宋体" w:cs="宋体"/>
          <w:b/>
          <w:color w:val="auto"/>
          <w:sz w:val="32"/>
          <w:szCs w:val="32"/>
          <w:highlight w:val="none"/>
        </w:rPr>
        <w:t>参加本项目小组成员一览</w:t>
      </w:r>
    </w:p>
    <w:tbl>
      <w:tblPr>
        <w:tblStyle w:val="21"/>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1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1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1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1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1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1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1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2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2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2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2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2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2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3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3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3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3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3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3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3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4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4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4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4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4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4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5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5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5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5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5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5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5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6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bl>
    <w:p>
      <w:pPr>
        <w:pageBreakBefore w:val="0"/>
        <w:numPr>
          <w:ins w:id="61"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bookmarkStart w:id="1" w:name="_Toc288738397"/>
      <w:bookmarkStart w:id="2" w:name="_Toc288738839"/>
    </w:p>
    <w:p>
      <w:pPr>
        <w:pageBreakBefore w:val="0"/>
        <w:numPr>
          <w:ins w:id="62" w:author="微软用户" w:date=""/>
        </w:numPr>
        <w:kinsoku/>
        <w:wordWrap/>
        <w:topLinePunct w:val="0"/>
        <w:bidi w:val="0"/>
        <w:adjustRightInd w:val="0"/>
        <w:snapToGrid w:val="0"/>
        <w:spacing w:line="360" w:lineRule="auto"/>
        <w:rPr>
          <w:rFonts w:ascii="宋体" w:hAnsi="宋体" w:cs="宋体"/>
          <w:color w:val="auto"/>
          <w:szCs w:val="21"/>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63"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4"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5"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6"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7"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8"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9"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0"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1"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3"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74" w:author="微软用户" w:date=""/>
        </w:numPr>
        <w:kinsoku/>
        <w:wordWrap/>
        <w:topLinePunct w:val="0"/>
        <w:bidi w:val="0"/>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w:t>
      </w:r>
    </w:p>
    <w:p>
      <w:pPr>
        <w:pStyle w:val="3"/>
        <w:pageBreakBefore w:val="0"/>
        <w:numPr>
          <w:ins w:id="75" w:author="微软用户" w:date=""/>
        </w:numPr>
        <w:kinsoku/>
        <w:wordWrap/>
        <w:topLinePunct w:val="0"/>
        <w:bidi w:val="0"/>
        <w:adjustRightInd w:val="0"/>
        <w:snapToGrid w:val="0"/>
        <w:spacing w:line="240" w:lineRule="auto"/>
        <w:jc w:val="center"/>
        <w:rPr>
          <w:rFonts w:hint="eastAsia" w:ascii="宋体" w:hAnsi="宋体" w:eastAsia="宋体" w:cs="宋体"/>
          <w:b/>
          <w:bCs w:val="0"/>
          <w:kern w:val="2"/>
          <w:sz w:val="32"/>
          <w:szCs w:val="24"/>
          <w:lang w:val="en-US" w:eastAsia="zh-CN" w:bidi="ar-SA"/>
        </w:rPr>
      </w:pPr>
      <w:r>
        <w:rPr>
          <w:rFonts w:hint="eastAsia" w:ascii="宋体" w:hAnsi="宋体" w:eastAsia="宋体" w:cs="宋体"/>
          <w:b/>
          <w:bCs w:val="0"/>
          <w:kern w:val="2"/>
          <w:sz w:val="32"/>
          <w:szCs w:val="24"/>
          <w:lang w:val="en-US" w:eastAsia="zh-CN" w:bidi="ar-SA"/>
        </w:rPr>
        <w:t>相关业绩一览表</w:t>
      </w:r>
      <w:bookmarkEnd w:id="1"/>
      <w:bookmarkEnd w:id="2"/>
    </w:p>
    <w:tbl>
      <w:tblPr>
        <w:tblStyle w:val="21"/>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numPr>
                <w:ins w:id="76"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numPr>
                <w:ins w:id="81" w:author="微软用户" w:date=""/>
              </w:numPr>
              <w:tabs>
                <w:tab w:val="left" w:pos="9765"/>
              </w:tabs>
              <w:kinsoku/>
              <w:wordWrap/>
              <w:topLinePunct w:val="0"/>
              <w:autoSpaceDE w:val="0"/>
              <w:autoSpaceDN w:val="0"/>
              <w:bidi w:val="0"/>
              <w:adjustRightInd w:val="0"/>
              <w:snapToGrid w:val="0"/>
              <w:spacing w:line="360" w:lineRule="auto"/>
              <w:ind w:hanging="523"/>
              <w:jc w:val="center"/>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bl>
    <w:p>
      <w:pPr>
        <w:pageBreakBefore w:val="0"/>
        <w:numPr>
          <w:ins w:id="136" w:author="微软用户" w:date=""/>
        </w:numPr>
        <w:kinsoku/>
        <w:wordWrap/>
        <w:topLinePunct w:val="0"/>
        <w:bidi w:val="0"/>
        <w:adjustRightInd w:val="0"/>
        <w:snapToGrid w:val="0"/>
        <w:spacing w:line="360" w:lineRule="auto"/>
        <w:rPr>
          <w:rFonts w:ascii="宋体" w:hAnsi="宋体" w:cs="宋体"/>
          <w:b/>
          <w:bCs/>
          <w:color w:val="auto"/>
          <w:szCs w:val="21"/>
          <w:highlight w:val="none"/>
        </w:rPr>
      </w:pPr>
    </w:p>
    <w:p>
      <w:pPr>
        <w:pageBreakBefore w:val="0"/>
        <w:widowControl/>
        <w:numPr>
          <w:ins w:id="137" w:author="微软用户" w:date=""/>
        </w:numPr>
        <w:kinsoku/>
        <w:wordWrap/>
        <w:topLinePunct w:val="0"/>
        <w:bidi w:val="0"/>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注：1、本表后附同复印件，并加盖公章，否则不予认可。</w:t>
      </w:r>
    </w:p>
    <w:p>
      <w:pPr>
        <w:pageBreakBefore w:val="0"/>
        <w:widowControl/>
        <w:numPr>
          <w:ins w:id="138" w:author="微软用户" w:date=""/>
        </w:numPr>
        <w:kinsoku/>
        <w:wordWrap/>
        <w:topLinePunct w:val="0"/>
        <w:bidi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p>
    <w:p>
      <w:pPr>
        <w:pageBreakBefore w:val="0"/>
        <w:numPr>
          <w:ins w:id="139" w:author="微软用户" w:date=""/>
        </w:numPr>
        <w:kinsoku/>
        <w:wordWrap/>
        <w:topLinePunct w:val="0"/>
        <w:bidi w:val="0"/>
        <w:adjustRightInd w:val="0"/>
        <w:snapToGrid w:val="0"/>
        <w:spacing w:line="360" w:lineRule="auto"/>
        <w:rPr>
          <w:rFonts w:ascii="宋体" w:hAnsi="宋体" w:cs="宋体"/>
          <w:b/>
          <w:color w:val="auto"/>
          <w:sz w:val="24"/>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140"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1"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2"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3"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4"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5"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6"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147" w:author="微软用户" w:date=""/>
        </w:numPr>
        <w:kinsoku/>
        <w:wordWrap/>
        <w:topLinePunct w:val="0"/>
        <w:bidi w:val="0"/>
        <w:adjustRightInd w:val="0"/>
        <w:snapToGrid w:val="0"/>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 xml:space="preserve"> </w:t>
      </w:r>
    </w:p>
    <w:p>
      <w:pPr>
        <w:pStyle w:val="3"/>
        <w:pageBreakBefore w:val="0"/>
        <w:kinsoku/>
        <w:wordWrap/>
        <w:topLinePunct w:val="0"/>
        <w:bidi w:val="0"/>
        <w:adjustRightInd w:val="0"/>
        <w:snapToGrid w:val="0"/>
        <w:spacing w:line="240" w:lineRule="auto"/>
        <w:jc w:val="center"/>
        <w:rPr>
          <w:rFonts w:hint="eastAsia" w:ascii="宋体" w:hAnsi="宋体" w:eastAsia="宋体" w:cs="宋体"/>
          <w:b/>
          <w:bCs w:val="0"/>
          <w:kern w:val="2"/>
          <w:sz w:val="32"/>
          <w:szCs w:val="24"/>
          <w:lang w:val="en-US" w:eastAsia="zh-CN" w:bidi="ar-SA"/>
        </w:rPr>
      </w:pPr>
      <w:r>
        <w:rPr>
          <w:rFonts w:hint="eastAsia" w:ascii="宋体" w:hAnsi="宋体" w:eastAsia="宋体" w:cs="宋体"/>
          <w:b/>
          <w:bCs w:val="0"/>
          <w:kern w:val="2"/>
          <w:sz w:val="32"/>
          <w:szCs w:val="24"/>
          <w:lang w:val="en-US" w:eastAsia="zh-CN" w:bidi="ar-SA"/>
        </w:rPr>
        <w:t>技术要求响应及偏离表</w:t>
      </w:r>
    </w:p>
    <w:tbl>
      <w:tblPr>
        <w:tblStyle w:val="21"/>
        <w:tblW w:w="9745" w:type="dxa"/>
        <w:jc w:val="center"/>
        <w:tblLayout w:type="fixed"/>
        <w:tblCellMar>
          <w:top w:w="0" w:type="dxa"/>
          <w:left w:w="0" w:type="dxa"/>
          <w:bottom w:w="0" w:type="dxa"/>
          <w:right w:w="0" w:type="dxa"/>
        </w:tblCellMar>
      </w:tblPr>
      <w:tblGrid>
        <w:gridCol w:w="794"/>
        <w:gridCol w:w="2650"/>
        <w:gridCol w:w="1952"/>
        <w:gridCol w:w="2461"/>
        <w:gridCol w:w="1888"/>
      </w:tblGrid>
      <w:tr>
        <w:tblPrEx>
          <w:tblCellMar>
            <w:top w:w="0" w:type="dxa"/>
            <w:left w:w="0" w:type="dxa"/>
            <w:bottom w:w="0" w:type="dxa"/>
            <w:right w:w="0" w:type="dxa"/>
          </w:tblCellMar>
        </w:tblPrEx>
        <w:trPr>
          <w:trHeight w:val="584" w:hRule="atLeast"/>
          <w:jc w:val="center"/>
        </w:trPr>
        <w:tc>
          <w:tcPr>
            <w:tcW w:w="794"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265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采购文件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1952"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采购文件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技术规范描述</w:t>
            </w:r>
          </w:p>
        </w:tc>
        <w:tc>
          <w:tcPr>
            <w:tcW w:w="246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选择项（符合、正偏离或负偏离）</w:t>
            </w:r>
          </w:p>
        </w:tc>
        <w:tc>
          <w:tcPr>
            <w:tcW w:w="1888"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偏离内容及原因</w:t>
            </w: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bl>
    <w:p>
      <w:pPr>
        <w:pageBreakBefore w:val="0"/>
        <w:widowControl/>
        <w:kinsoku/>
        <w:wordWrap/>
        <w:topLinePunct w:val="0"/>
        <w:bidi w:val="0"/>
        <w:adjustRightInd w:val="0"/>
        <w:snapToGrid w:val="0"/>
        <w:spacing w:line="360" w:lineRule="auto"/>
        <w:rPr>
          <w:rFonts w:ascii="宋体" w:hAnsi="宋体" w:cs="宋体"/>
          <w:color w:val="auto"/>
          <w:kern w:val="0"/>
          <w:sz w:val="24"/>
          <w:highlight w:val="none"/>
        </w:rPr>
      </w:pP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注：</w:t>
      </w: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1、供应商应据实、详细填写上述表格，因未标明或表述含糊导致的评审风险将由供应商承担。</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2、在“选择项”栏中填写“符合或正偏离或负偏离”并在“偏离内容及原因”栏中作出说明。</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3、表格不够可另接。</w:t>
      </w:r>
    </w:p>
    <w:p>
      <w:pPr>
        <w:widowControl/>
        <w:spacing w:line="360" w:lineRule="exact"/>
        <w:jc w:val="left"/>
        <w:rPr>
          <w:rFonts w:hint="eastAsia" w:ascii="宋体" w:hAnsi="宋体" w:eastAsia="宋体" w:cs="宋体"/>
          <w:sz w:val="24"/>
          <w:szCs w:val="24"/>
        </w:rPr>
      </w:pPr>
    </w:p>
    <w:p>
      <w:pPr>
        <w:widowControl/>
        <w:spacing w:line="400" w:lineRule="exact"/>
        <w:ind w:firstLine="4560"/>
        <w:jc w:val="left"/>
        <w:rPr>
          <w:rFonts w:hint="eastAsia" w:ascii="宋体" w:hAnsi="宋体" w:eastAsia="宋体" w:cs="宋体"/>
          <w:sz w:val="24"/>
          <w:szCs w:val="24"/>
        </w:rPr>
      </w:pPr>
      <w:r>
        <w:rPr>
          <w:rFonts w:hint="eastAsia" w:ascii="宋体" w:hAnsi="宋体" w:eastAsia="宋体" w:cs="宋体"/>
          <w:sz w:val="24"/>
          <w:szCs w:val="24"/>
        </w:rPr>
        <w:t xml:space="preserve">供应商（盖章）：  </w:t>
      </w:r>
    </w:p>
    <w:p>
      <w:pPr>
        <w:widowControl/>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cs="宋体"/>
          <w:sz w:val="24"/>
          <w:szCs w:val="24"/>
          <w:lang w:eastAsia="zh-CN"/>
        </w:rPr>
        <w:t>签字或盖章</w:t>
      </w:r>
      <w:r>
        <w:rPr>
          <w:rFonts w:hint="eastAsia" w:ascii="宋体" w:hAnsi="宋体" w:eastAsia="宋体" w:cs="宋体"/>
          <w:sz w:val="24"/>
          <w:szCs w:val="24"/>
        </w:rPr>
        <w:t xml:space="preserve">）：  </w:t>
      </w:r>
    </w:p>
    <w:p>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日期：   </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0</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lang w:eastAsia="zh-CN"/>
        </w:rPr>
        <w:t>技术方案、质量保证、</w:t>
      </w:r>
      <w:r>
        <w:rPr>
          <w:rFonts w:hint="eastAsia" w:ascii="宋体" w:hAnsi="宋体" w:cs="宋体"/>
          <w:b/>
          <w:bCs/>
          <w:sz w:val="32"/>
          <w:szCs w:val="32"/>
        </w:rPr>
        <w:t>服务承诺</w:t>
      </w:r>
    </w:p>
    <w:p>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包括但不限于如下内容</w:t>
      </w:r>
      <w:r>
        <w:rPr>
          <w:rFonts w:hint="eastAsia" w:ascii="宋体" w:hAnsi="宋体" w:eastAsia="宋体" w:cs="宋体"/>
          <w:color w:val="000000"/>
          <w:sz w:val="24"/>
          <w:szCs w:val="24"/>
        </w:rPr>
        <w:t>：质保期、交货日期、质保期满以后维保报价表、质保期满以后配件报价表、备品备件、易损件一览表、</w:t>
      </w:r>
      <w:r>
        <w:rPr>
          <w:rFonts w:hint="eastAsia" w:ascii="宋体" w:hAnsi="宋体" w:cs="宋体"/>
          <w:color w:val="000000"/>
          <w:sz w:val="24"/>
          <w:szCs w:val="24"/>
          <w:lang w:eastAsia="zh-CN"/>
        </w:rPr>
        <w:t>质量保证、培训承诺、技术支持</w:t>
      </w:r>
      <w:r>
        <w:rPr>
          <w:rFonts w:hint="eastAsia" w:ascii="宋体" w:hAnsi="宋体" w:eastAsia="宋体" w:cs="宋体"/>
          <w:color w:val="000000"/>
          <w:sz w:val="24"/>
          <w:szCs w:val="24"/>
        </w:rPr>
        <w:t>等，格式自拟）</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 xml:space="preserve">（盖章）：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法定代表人或授权代表（</w:t>
      </w:r>
      <w:r>
        <w:rPr>
          <w:rFonts w:hint="eastAsia" w:ascii="宋体" w:hAnsi="宋体" w:cs="宋体"/>
          <w:color w:val="000000"/>
          <w:sz w:val="24"/>
          <w:szCs w:val="24"/>
          <w:lang w:eastAsia="zh-CN"/>
        </w:rPr>
        <w:t>签字或盖章</w:t>
      </w: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日期：    </w:t>
      </w:r>
    </w:p>
    <w:p>
      <w:pPr>
        <w:spacing w:line="240" w:lineRule="atLeast"/>
        <w:rPr>
          <w:rFonts w:hint="eastAsia" w:ascii="宋体" w:hAnsi="宋体" w:cs="宋体"/>
          <w:b/>
          <w:sz w:val="24"/>
        </w:rPr>
      </w:pPr>
    </w:p>
    <w:p>
      <w:pPr>
        <w:spacing w:line="240" w:lineRule="atLeast"/>
        <w:rPr>
          <w:rFonts w:hint="eastAsia" w:ascii="宋体" w:hAnsi="宋体" w:cs="宋体"/>
          <w:b/>
          <w:sz w:val="24"/>
        </w:rPr>
      </w:pPr>
    </w:p>
    <w:p>
      <w:pPr>
        <w:rPr>
          <w:rFonts w:cs="宋体"/>
          <w:b/>
          <w:color w:val="auto"/>
          <w:highlight w:val="none"/>
        </w:rPr>
      </w:pPr>
      <w:r>
        <w:rPr>
          <w:rFonts w:hint="eastAsia" w:ascii="宋体" w:hAnsi="宋体" w:cs="宋体"/>
          <w:b/>
          <w:sz w:val="24"/>
        </w:rPr>
        <w:br w:type="page"/>
      </w:r>
    </w:p>
    <w:p>
      <w:pPr>
        <w:spacing w:line="360" w:lineRule="auto"/>
        <w:jc w:val="center"/>
        <w:rPr>
          <w:rFonts w:hint="eastAsia" w:ascii="宋体" w:hAnsi="宋体" w:eastAsia="宋体" w:cs="宋体"/>
          <w:b/>
          <w:sz w:val="36"/>
          <w:szCs w:val="36"/>
          <w:lang w:eastAsia="zh-CN"/>
        </w:rPr>
      </w:pPr>
      <w:r>
        <w:rPr>
          <w:rFonts w:hint="eastAsia" w:ascii="宋体" w:hAnsi="宋体" w:cs="宋体"/>
          <w:b/>
          <w:sz w:val="36"/>
          <w:szCs w:val="36"/>
        </w:rPr>
        <w:t>第</w:t>
      </w:r>
      <w:r>
        <w:rPr>
          <w:rFonts w:hint="eastAsia" w:ascii="宋体" w:hAnsi="宋体" w:cs="宋体"/>
          <w:b/>
          <w:sz w:val="36"/>
          <w:szCs w:val="36"/>
          <w:lang w:eastAsia="zh-CN"/>
        </w:rPr>
        <w:t>五</w:t>
      </w:r>
      <w:r>
        <w:rPr>
          <w:rFonts w:hint="eastAsia" w:ascii="宋体" w:hAnsi="宋体" w:cs="宋体"/>
          <w:b/>
          <w:sz w:val="36"/>
          <w:szCs w:val="36"/>
        </w:rPr>
        <w:t>章　采购合同</w:t>
      </w:r>
      <w:r>
        <w:rPr>
          <w:rFonts w:hint="eastAsia" w:ascii="宋体" w:hAnsi="宋体" w:cs="宋体"/>
          <w:b/>
          <w:sz w:val="36"/>
          <w:szCs w:val="36"/>
          <w:lang w:eastAsia="zh-CN"/>
        </w:rPr>
        <w:t>（格式）</w:t>
      </w:r>
    </w:p>
    <w:p>
      <w:pPr>
        <w:spacing w:line="360" w:lineRule="auto"/>
        <w:jc w:val="center"/>
        <w:rPr>
          <w:rFonts w:ascii="宋体" w:hAnsi="宋体" w:cs="宋体"/>
          <w:szCs w:val="21"/>
        </w:rPr>
      </w:pPr>
      <w:r>
        <w:rPr>
          <w:rFonts w:hint="eastAsia"/>
          <w:b/>
          <w:bCs/>
          <w:sz w:val="30"/>
          <w:szCs w:val="30"/>
          <w:u w:val="single"/>
          <w:lang w:val="en-US" w:eastAsia="zh-CN"/>
        </w:rPr>
        <w:t>奔牛人民医院剪切波组织定量超声诊断仪授权模块采购</w:t>
      </w:r>
      <w:r>
        <w:rPr>
          <w:rFonts w:hint="eastAsia"/>
          <w:b/>
          <w:bCs/>
          <w:sz w:val="30"/>
          <w:szCs w:val="30"/>
        </w:rPr>
        <w:t>项目合同</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u w:val="single"/>
        </w:rPr>
      </w:pPr>
      <w:r>
        <w:rPr>
          <w:rFonts w:hint="eastAsia" w:ascii="宋体" w:hAnsi="宋体" w:eastAsia="宋体" w:cs="宋体"/>
          <w:szCs w:val="21"/>
        </w:rPr>
        <w:t>甲方：</w:t>
      </w:r>
      <w:r>
        <w:rPr>
          <w:rFonts w:hint="eastAsia" w:ascii="宋体" w:hAnsi="宋体" w:cs="宋体"/>
          <w:szCs w:val="21"/>
          <w:lang w:val="en-US" w:eastAsia="zh-CN"/>
        </w:rPr>
        <w:t>常州市新北区奔牛人民医院</w:t>
      </w: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签订地点：</w:t>
      </w:r>
      <w:r>
        <w:rPr>
          <w:rFonts w:hint="eastAsia" w:ascii="宋体" w:hAnsi="宋体" w:cs="宋体"/>
          <w:b w:val="0"/>
          <w:bCs w:val="0"/>
          <w:color w:val="auto"/>
          <w:szCs w:val="21"/>
          <w:highlight w:val="none"/>
          <w:lang w:val="en-US" w:eastAsia="zh-CN"/>
        </w:rPr>
        <w:t>江苏·常州</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 xml:space="preserve">乙方：                                    </w:t>
      </w:r>
      <w:r>
        <w:rPr>
          <w:rFonts w:hint="eastAsia" w:ascii="宋体" w:hAnsi="宋体" w:cs="宋体"/>
          <w:szCs w:val="21"/>
          <w:lang w:val="en-US" w:eastAsia="zh-CN"/>
        </w:rPr>
        <w:t xml:space="preserve">                  </w:t>
      </w:r>
      <w:r>
        <w:rPr>
          <w:rFonts w:hint="eastAsia" w:ascii="宋体" w:hAnsi="宋体" w:eastAsia="宋体" w:cs="宋体"/>
          <w:szCs w:val="21"/>
        </w:rPr>
        <w:t>签订时间：     年   月    日</w:t>
      </w:r>
    </w:p>
    <w:p>
      <w:pPr>
        <w:keepNext w:val="0"/>
        <w:keepLines w:val="0"/>
        <w:pageBreakBefore w:val="0"/>
        <w:widowControl w:val="0"/>
        <w:kinsoku/>
        <w:wordWrap/>
        <w:topLinePunct w:val="0"/>
        <w:bidi w:val="0"/>
        <w:adjustRightInd w:val="0"/>
        <w:snapToGrid w:val="0"/>
        <w:spacing w:line="360" w:lineRule="auto"/>
        <w:ind w:firstLine="315" w:firstLineChars="150"/>
        <w:textAlignment w:val="auto"/>
        <w:rPr>
          <w:rFonts w:hint="eastAsia" w:ascii="宋体" w:hAnsi="宋体" w:eastAsia="宋体" w:cs="宋体"/>
          <w:spacing w:val="2"/>
          <w:szCs w:val="21"/>
          <w:u w:val="single"/>
          <w:lang w:val="zh-CN"/>
        </w:rPr>
      </w:pPr>
      <w:r>
        <w:rPr>
          <w:rFonts w:hint="eastAsia" w:ascii="宋体" w:hAnsi="宋体" w:eastAsia="宋体" w:cs="宋体"/>
          <w:szCs w:val="21"/>
        </w:rPr>
        <w:t>根据常州</w:t>
      </w:r>
      <w:r>
        <w:rPr>
          <w:rFonts w:hint="eastAsia" w:ascii="宋体" w:hAnsi="宋体" w:cs="宋体"/>
          <w:szCs w:val="21"/>
          <w:lang w:eastAsia="zh-CN"/>
        </w:rPr>
        <w:t>新禾</w:t>
      </w:r>
      <w:r>
        <w:rPr>
          <w:rFonts w:hint="eastAsia" w:ascii="宋体" w:hAnsi="宋体" w:eastAsia="宋体" w:cs="宋体"/>
          <w:szCs w:val="21"/>
        </w:rPr>
        <w:t>招投标有限公司进行的</w:t>
      </w:r>
      <w:r>
        <w:rPr>
          <w:rFonts w:hint="eastAsia" w:ascii="宋体" w:hAnsi="宋体" w:cs="宋体"/>
          <w:szCs w:val="21"/>
          <w:u w:val="single"/>
          <w:lang w:val="en-US" w:eastAsia="zh-CN"/>
        </w:rPr>
        <w:t>XHDY2024002</w:t>
      </w:r>
      <w:r>
        <w:rPr>
          <w:rFonts w:hint="eastAsia" w:ascii="宋体" w:hAnsi="宋体" w:eastAsia="宋体" w:cs="宋体"/>
          <w:szCs w:val="21"/>
        </w:rPr>
        <w:t>号采购，甲、乙、代理采购机构三方就乙方中标的</w:t>
      </w:r>
      <w:r>
        <w:rPr>
          <w:rFonts w:hint="eastAsia" w:ascii="宋体" w:hAnsi="宋体" w:eastAsia="宋体" w:cs="宋体"/>
          <w:szCs w:val="21"/>
          <w:u w:val="single"/>
          <w:lang w:eastAsia="zh-CN"/>
        </w:rPr>
        <w:t xml:space="preserve">                        </w:t>
      </w:r>
      <w:r>
        <w:rPr>
          <w:rFonts w:hint="eastAsia" w:ascii="宋体" w:hAnsi="宋体" w:eastAsia="宋体" w:cs="宋体"/>
          <w:spacing w:val="2"/>
          <w:szCs w:val="21"/>
          <w:u w:val="none"/>
          <w:lang w:val="zh-CN"/>
        </w:rPr>
        <w:t>（</w:t>
      </w:r>
      <w:r>
        <w:rPr>
          <w:rFonts w:hint="eastAsia" w:ascii="宋体" w:hAnsi="宋体" w:cs="宋体"/>
          <w:szCs w:val="21"/>
          <w:u w:val="single"/>
          <w:lang w:val="en-US" w:eastAsia="zh-CN"/>
        </w:rPr>
        <w:t>XHDY2024002</w:t>
      </w:r>
      <w:r>
        <w:rPr>
          <w:rFonts w:hint="eastAsia" w:ascii="宋体" w:hAnsi="宋体" w:eastAsia="宋体" w:cs="宋体"/>
          <w:spacing w:val="2"/>
          <w:szCs w:val="21"/>
          <w:u w:val="none"/>
          <w:lang w:val="zh-CN"/>
        </w:rPr>
        <w:t>号）</w:t>
      </w:r>
      <w:r>
        <w:rPr>
          <w:rFonts w:hint="eastAsia" w:ascii="宋体" w:hAnsi="宋体" w:cs="宋体"/>
          <w:spacing w:val="2"/>
          <w:szCs w:val="21"/>
          <w:u w:val="single"/>
          <w:lang w:val="en-US" w:eastAsia="zh-CN"/>
        </w:rPr>
        <w:t>奔牛人民医院剪切波组织定量超声诊断仪授权模块采购</w:t>
      </w:r>
      <w:r>
        <w:rPr>
          <w:rFonts w:hint="eastAsia" w:ascii="宋体" w:hAnsi="宋体" w:eastAsia="宋体" w:cs="宋体"/>
          <w:szCs w:val="21"/>
        </w:rPr>
        <w:t>项目</w:t>
      </w:r>
      <w:r>
        <w:rPr>
          <w:rFonts w:hint="eastAsia" w:ascii="宋体" w:hAnsi="宋体" w:eastAsia="宋体" w:cs="宋体"/>
          <w:bCs/>
          <w:szCs w:val="21"/>
        </w:rPr>
        <w:t>，</w:t>
      </w:r>
      <w:r>
        <w:rPr>
          <w:rFonts w:hint="eastAsia" w:ascii="宋体" w:hAnsi="宋体" w:eastAsia="宋体" w:cs="宋体"/>
          <w:szCs w:val="21"/>
        </w:rPr>
        <w:t>本着平等互利的原则，通过共同协商，根据</w:t>
      </w:r>
      <w:r>
        <w:rPr>
          <w:rFonts w:hint="eastAsia" w:ascii="宋体" w:hAnsi="宋体" w:eastAsia="宋体" w:cs="宋体"/>
          <w:bCs/>
          <w:szCs w:val="21"/>
        </w:rPr>
        <w:t>《中华人民共和国</w:t>
      </w:r>
      <w:r>
        <w:rPr>
          <w:rFonts w:hint="eastAsia" w:ascii="宋体" w:hAnsi="宋体" w:cs="宋体"/>
          <w:bCs/>
          <w:szCs w:val="21"/>
          <w:lang w:eastAsia="zh-CN"/>
        </w:rPr>
        <w:t>民法典</w:t>
      </w:r>
      <w:r>
        <w:rPr>
          <w:rFonts w:hint="eastAsia" w:ascii="宋体" w:hAnsi="宋体" w:eastAsia="宋体" w:cs="宋体"/>
          <w:bCs/>
          <w:szCs w:val="21"/>
        </w:rPr>
        <w:t>》、《中华人民共和国政府采购法》</w:t>
      </w:r>
      <w:r>
        <w:rPr>
          <w:rFonts w:hint="eastAsia" w:ascii="宋体" w:hAnsi="宋体" w:eastAsia="宋体" w:cs="宋体"/>
          <w:szCs w:val="21"/>
        </w:rPr>
        <w:t>及有关法律法规，就相关事宜达成如下合同。</w:t>
      </w:r>
    </w:p>
    <w:p>
      <w:pPr>
        <w:keepNext w:val="0"/>
        <w:keepLines w:val="0"/>
        <w:pageBreakBefore w:val="0"/>
        <w:widowControl w:val="0"/>
        <w:kinsoku/>
        <w:wordWrap/>
        <w:topLinePunct w:val="0"/>
        <w:bidi w:val="0"/>
        <w:adjustRightInd w:val="0"/>
        <w:snapToGrid w:val="0"/>
        <w:spacing w:line="360" w:lineRule="auto"/>
        <w:jc w:val="left"/>
        <w:textAlignment w:val="auto"/>
        <w:rPr>
          <w:rFonts w:hint="eastAsia" w:ascii="宋体" w:hAnsi="宋体" w:eastAsia="宋体" w:cs="宋体"/>
          <w:b/>
          <w:szCs w:val="21"/>
        </w:rPr>
      </w:pPr>
      <w:r>
        <w:rPr>
          <w:rFonts w:hint="eastAsia" w:ascii="宋体" w:hAnsi="宋体" w:eastAsia="宋体" w:cs="宋体"/>
          <w:b/>
          <w:szCs w:val="21"/>
        </w:rPr>
        <w:t>一、总则</w:t>
      </w:r>
    </w:p>
    <w:p>
      <w:pPr>
        <w:keepNext w:val="0"/>
        <w:keepLines w:val="0"/>
        <w:pageBreakBefore w:val="0"/>
        <w:widowControl w:val="0"/>
        <w:kinsoku/>
        <w:wordWrap/>
        <w:topLinePunct w:val="0"/>
        <w:bidi w:val="0"/>
        <w:adjustRightInd w:val="0"/>
        <w:snapToGrid w:val="0"/>
        <w:spacing w:line="360" w:lineRule="auto"/>
        <w:ind w:firstLine="315" w:firstLineChars="150"/>
        <w:textAlignment w:val="auto"/>
        <w:rPr>
          <w:rFonts w:hint="eastAsia" w:ascii="宋体" w:hAnsi="宋体" w:eastAsia="宋体" w:cs="宋体"/>
          <w:spacing w:val="2"/>
          <w:szCs w:val="21"/>
          <w:u w:val="single"/>
        </w:rPr>
      </w:pPr>
      <w:r>
        <w:rPr>
          <w:rFonts w:hint="eastAsia" w:ascii="宋体" w:hAnsi="宋体" w:eastAsia="宋体" w:cs="宋体"/>
          <w:szCs w:val="21"/>
        </w:rPr>
        <w:t>乙方按甲方要求，为甲方提供的（</w:t>
      </w:r>
      <w:r>
        <w:rPr>
          <w:rFonts w:hint="eastAsia" w:ascii="宋体" w:hAnsi="宋体" w:cs="宋体"/>
          <w:szCs w:val="21"/>
          <w:u w:val="single"/>
          <w:lang w:val="en-US" w:eastAsia="zh-CN"/>
        </w:rPr>
        <w:t>XHDY2024002</w:t>
      </w:r>
      <w:r>
        <w:rPr>
          <w:rFonts w:hint="eastAsia" w:ascii="宋体" w:hAnsi="宋体" w:eastAsia="宋体" w:cs="宋体"/>
          <w:szCs w:val="21"/>
        </w:rPr>
        <w:t>号）项目服务；合同金额为人民币大写：</w:t>
      </w:r>
      <w:r>
        <w:rPr>
          <w:rFonts w:hint="eastAsia" w:ascii="宋体" w:hAnsi="宋体" w:cs="宋体"/>
          <w:szCs w:val="21"/>
          <w:u w:val="single"/>
          <w:lang w:val="en-US" w:eastAsia="zh-CN"/>
        </w:rPr>
        <w:t xml:space="preserve">        </w:t>
      </w:r>
      <w:r>
        <w:rPr>
          <w:rFonts w:hint="eastAsia" w:ascii="宋体" w:hAnsi="宋体" w:eastAsia="宋体" w:cs="宋体"/>
          <w:szCs w:val="21"/>
        </w:rPr>
        <w:t>元整，小写：</w:t>
      </w:r>
      <w:r>
        <w:rPr>
          <w:rFonts w:hint="eastAsia" w:ascii="宋体" w:hAnsi="宋体" w:cs="宋体"/>
          <w:szCs w:val="21"/>
          <w:u w:val="single"/>
          <w:lang w:val="en-US" w:eastAsia="zh-CN"/>
        </w:rPr>
        <w:t xml:space="preserve">        </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60" w:lineRule="auto"/>
        <w:ind w:firstLine="600"/>
        <w:jc w:val="left"/>
        <w:textAlignment w:val="auto"/>
        <w:rPr>
          <w:rFonts w:hint="eastAsia" w:ascii="宋体" w:hAnsi="宋体" w:eastAsia="宋体" w:cs="宋体"/>
          <w:szCs w:val="21"/>
        </w:rPr>
      </w:pPr>
      <w:r>
        <w:rPr>
          <w:rFonts w:hint="eastAsia" w:ascii="宋体" w:hAnsi="宋体" w:eastAsia="宋体" w:cs="宋体"/>
          <w:szCs w:val="21"/>
        </w:rPr>
        <w:t>项目的具体服务要求见代理采购机构的</w:t>
      </w:r>
      <w:r>
        <w:rPr>
          <w:rFonts w:hint="eastAsia" w:ascii="宋体" w:hAnsi="宋体" w:cs="宋体"/>
          <w:szCs w:val="21"/>
          <w:lang w:eastAsia="zh-CN"/>
        </w:rPr>
        <w:t>采购文件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60" w:lineRule="auto"/>
        <w:jc w:val="left"/>
        <w:textAlignment w:val="auto"/>
        <w:rPr>
          <w:rFonts w:hint="eastAsia" w:ascii="宋体" w:hAnsi="宋体" w:eastAsia="宋体" w:cs="宋体"/>
          <w:b/>
          <w:szCs w:val="21"/>
        </w:rPr>
      </w:pPr>
      <w:r>
        <w:rPr>
          <w:rFonts w:hint="eastAsia" w:ascii="宋体" w:hAnsi="宋体" w:eastAsia="宋体" w:cs="宋体"/>
          <w:b/>
          <w:szCs w:val="21"/>
        </w:rPr>
        <w:t>二、合同文件</w:t>
      </w:r>
    </w:p>
    <w:p>
      <w:pPr>
        <w:keepNext w:val="0"/>
        <w:keepLines w:val="0"/>
        <w:pageBreakBefore w:val="0"/>
        <w:widowControl w:val="0"/>
        <w:kinsoku/>
        <w:wordWrap/>
        <w:topLinePunct w:val="0"/>
        <w:bidi w:val="0"/>
        <w:adjustRightInd w:val="0"/>
        <w:snapToGrid w:val="0"/>
        <w:spacing w:line="360" w:lineRule="auto"/>
        <w:ind w:firstLine="420" w:firstLineChars="200"/>
        <w:jc w:val="left"/>
        <w:textAlignment w:val="auto"/>
        <w:rPr>
          <w:rFonts w:hint="eastAsia" w:ascii="宋体" w:hAnsi="宋体" w:eastAsia="宋体" w:cs="宋体"/>
          <w:bCs/>
          <w:szCs w:val="21"/>
        </w:rPr>
      </w:pPr>
      <w:r>
        <w:rPr>
          <w:rFonts w:hint="eastAsia" w:ascii="宋体" w:hAnsi="宋体" w:eastAsia="宋体" w:cs="宋体"/>
          <w:szCs w:val="21"/>
        </w:rPr>
        <w:t>下列文件是构成合同不可分割的部分，并与本合同具有同等法律效力，</w:t>
      </w:r>
      <w:r>
        <w:rPr>
          <w:rFonts w:hint="eastAsia" w:ascii="宋体" w:hAnsi="宋体" w:eastAsia="宋体" w:cs="宋体"/>
          <w:bCs/>
          <w:szCs w:val="21"/>
        </w:rPr>
        <w:t>这些文件包括但不限于：</w:t>
      </w:r>
    </w:p>
    <w:p>
      <w:pPr>
        <w:keepNext w:val="0"/>
        <w:keepLines w:val="0"/>
        <w:pageBreakBefore w:val="0"/>
        <w:widowControl w:val="0"/>
        <w:kinsoku/>
        <w:wordWrap/>
        <w:topLinePunct w:val="0"/>
        <w:bidi w:val="0"/>
        <w:adjustRightInd w:val="0"/>
        <w:snapToGrid w:val="0"/>
        <w:spacing w:line="360" w:lineRule="auto"/>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u w:val="single"/>
          <w:lang w:val="en-US" w:eastAsia="zh-CN"/>
        </w:rPr>
        <w:t>XHDY2024002</w:t>
      </w:r>
      <w:r>
        <w:rPr>
          <w:rFonts w:hint="eastAsia" w:ascii="宋体" w:hAnsi="宋体" w:eastAsia="宋体" w:cs="宋体"/>
          <w:szCs w:val="21"/>
        </w:rPr>
        <w:t>号）</w:t>
      </w:r>
      <w:r>
        <w:rPr>
          <w:rFonts w:hint="eastAsia" w:ascii="宋体" w:hAnsi="宋体" w:eastAsia="宋体" w:cs="宋体"/>
          <w:spacing w:val="2"/>
          <w:szCs w:val="21"/>
          <w:u w:val="none"/>
        </w:rPr>
        <w:t>项目</w:t>
      </w:r>
      <w:r>
        <w:rPr>
          <w:rFonts w:hint="eastAsia" w:ascii="宋体" w:hAnsi="宋体" w:cs="宋体"/>
          <w:szCs w:val="21"/>
          <w:lang w:eastAsia="zh-CN"/>
        </w:rPr>
        <w:t>采购文件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60" w:lineRule="auto"/>
        <w:jc w:val="left"/>
        <w:textAlignment w:val="auto"/>
        <w:rPr>
          <w:rFonts w:hint="eastAsia" w:ascii="宋体" w:hAnsi="宋体" w:eastAsia="宋体" w:cs="宋体"/>
          <w:szCs w:val="21"/>
        </w:rPr>
      </w:pPr>
      <w:r>
        <w:rPr>
          <w:rFonts w:hint="eastAsia" w:ascii="宋体" w:hAnsi="宋体" w:eastAsia="宋体" w:cs="宋体"/>
          <w:szCs w:val="21"/>
        </w:rPr>
        <w:t>2、乙方提交的</w:t>
      </w:r>
      <w:r>
        <w:rPr>
          <w:rFonts w:hint="eastAsia" w:ascii="宋体" w:hAnsi="宋体" w:cs="宋体"/>
          <w:szCs w:val="21"/>
          <w:lang w:eastAsia="zh-CN"/>
        </w:rPr>
        <w:t>响应文件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60" w:lineRule="auto"/>
        <w:jc w:val="left"/>
        <w:textAlignment w:val="auto"/>
        <w:rPr>
          <w:rFonts w:hint="eastAsia" w:ascii="宋体" w:hAnsi="宋体" w:eastAsia="宋体" w:cs="宋体"/>
          <w:szCs w:val="21"/>
        </w:rPr>
      </w:pPr>
      <w:r>
        <w:rPr>
          <w:rFonts w:hint="eastAsia" w:ascii="宋体" w:hAnsi="宋体" w:eastAsia="宋体" w:cs="宋体"/>
          <w:szCs w:val="21"/>
        </w:rPr>
        <w:t>3、乙方</w:t>
      </w:r>
      <w:r>
        <w:rPr>
          <w:rFonts w:hint="eastAsia" w:ascii="宋体" w:hAnsi="宋体" w:cs="宋体"/>
          <w:szCs w:val="21"/>
          <w:lang w:eastAsia="zh-CN"/>
        </w:rPr>
        <w:t>提交</w:t>
      </w:r>
      <w:r>
        <w:rPr>
          <w:rFonts w:hint="eastAsia" w:ascii="宋体" w:hAnsi="宋体" w:eastAsia="宋体" w:cs="宋体"/>
          <w:szCs w:val="21"/>
        </w:rPr>
        <w:t>的其他资料及承诺。</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b/>
          <w:bCs/>
          <w:szCs w:val="21"/>
        </w:rPr>
      </w:pPr>
      <w:r>
        <w:rPr>
          <w:rFonts w:hint="eastAsia" w:ascii="宋体" w:hAnsi="宋体" w:eastAsia="宋体" w:cs="宋体"/>
          <w:b/>
          <w:bCs/>
          <w:szCs w:val="21"/>
        </w:rPr>
        <w:t>三、</w:t>
      </w:r>
      <w:r>
        <w:rPr>
          <w:rFonts w:hint="eastAsia" w:ascii="宋体" w:hAnsi="宋体" w:cs="宋体"/>
          <w:b/>
          <w:bCs/>
          <w:szCs w:val="21"/>
          <w:lang w:eastAsia="zh-CN"/>
        </w:rPr>
        <w:t>采购</w:t>
      </w:r>
      <w:r>
        <w:rPr>
          <w:rFonts w:hint="eastAsia" w:ascii="宋体" w:hAnsi="宋体" w:eastAsia="宋体" w:cs="宋体"/>
          <w:b/>
          <w:bCs/>
          <w:szCs w:val="21"/>
        </w:rPr>
        <w:t>内容</w:t>
      </w:r>
    </w:p>
    <w:p>
      <w:pPr>
        <w:keepNext w:val="0"/>
        <w:keepLines w:val="0"/>
        <w:pageBreakBefore w:val="0"/>
        <w:widowControl w:val="0"/>
        <w:kinsoku/>
        <w:wordWrap/>
        <w:topLinePunct w:val="0"/>
        <w:bidi w:val="0"/>
        <w:adjustRightInd w:val="0"/>
        <w:snapToGrid w:val="0"/>
        <w:spacing w:line="360" w:lineRule="auto"/>
        <w:textAlignment w:val="auto"/>
        <w:rPr>
          <w:rFonts w:hint="eastAsia"/>
        </w:rPr>
      </w:pPr>
      <w:r>
        <w:rPr>
          <w:rFonts w:hint="eastAsia" w:ascii="宋体" w:hAnsi="宋体" w:cs="宋体"/>
          <w:b w:val="0"/>
          <w:bCs/>
          <w:szCs w:val="21"/>
          <w:lang w:val="en-US" w:eastAsia="zh-CN"/>
        </w:rPr>
        <w:t>奔牛人民医院剪切波组织定量超声诊断仪授权模块采购项目，详情见采购文件。</w:t>
      </w:r>
    </w:p>
    <w:p>
      <w:pPr>
        <w:keepNext w:val="0"/>
        <w:keepLines w:val="0"/>
        <w:pageBreakBefore w:val="0"/>
        <w:widowControl w:val="0"/>
        <w:numPr>
          <w:ilvl w:val="0"/>
          <w:numId w:val="11"/>
        </w:numPr>
        <w:kinsoku/>
        <w:wordWrap/>
        <w:topLinePunct w:val="0"/>
        <w:bidi w:val="0"/>
        <w:adjustRightInd w:val="0"/>
        <w:snapToGrid w:val="0"/>
        <w:spacing w:line="360" w:lineRule="auto"/>
        <w:textAlignment w:val="auto"/>
        <w:rPr>
          <w:rFonts w:hint="eastAsia" w:ascii="宋体" w:hAnsi="宋体" w:eastAsia="宋体" w:cs="宋体"/>
          <w:b/>
          <w:bCs/>
          <w:szCs w:val="21"/>
        </w:rPr>
      </w:pPr>
      <w:r>
        <w:rPr>
          <w:rFonts w:hint="eastAsia" w:ascii="宋体" w:hAnsi="宋体" w:cs="宋体"/>
          <w:b/>
          <w:bCs/>
          <w:szCs w:val="21"/>
          <w:lang w:val="en-US" w:eastAsia="zh-CN"/>
        </w:rPr>
        <w:t>技术资料</w:t>
      </w:r>
    </w:p>
    <w:p>
      <w:pPr>
        <w:keepNext w:val="0"/>
        <w:keepLines w:val="0"/>
        <w:pageBreakBefore w:val="0"/>
        <w:widowControl w:val="0"/>
        <w:numPr>
          <w:ilvl w:val="0"/>
          <w:numId w:val="0"/>
        </w:numPr>
        <w:kinsoku/>
        <w:wordWrap/>
        <w:topLinePunct w:val="0"/>
        <w:bidi w:val="0"/>
        <w:adjustRightInd w:val="0"/>
        <w:snapToGrid w:val="0"/>
        <w:spacing w:line="360" w:lineRule="auto"/>
        <w:textAlignment w:val="auto"/>
        <w:rPr>
          <w:rFonts w:ascii="宋体" w:hAnsi="宋体" w:eastAsia="宋体" w:cs="宋体"/>
          <w:sz w:val="21"/>
          <w:szCs w:val="21"/>
        </w:rPr>
      </w:pPr>
      <w:r>
        <w:rPr>
          <w:rFonts w:hint="eastAsia" w:ascii="宋体" w:hAnsi="宋体" w:eastAsia="宋体" w:cs="宋体"/>
          <w:sz w:val="21"/>
          <w:szCs w:val="21"/>
          <w:lang w:val="en-US" w:eastAsia="zh-CN"/>
        </w:rPr>
        <w:t>1、</w:t>
      </w:r>
      <w:r>
        <w:rPr>
          <w:rFonts w:ascii="宋体" w:hAnsi="宋体" w:eastAsia="宋体" w:cs="宋体"/>
          <w:sz w:val="21"/>
          <w:szCs w:val="21"/>
        </w:rPr>
        <w:t>供方应向需方提供所售设备及配套设备的有关技术资料。</w:t>
      </w:r>
    </w:p>
    <w:p>
      <w:pPr>
        <w:keepNext w:val="0"/>
        <w:keepLines w:val="0"/>
        <w:pageBreakBefore w:val="0"/>
        <w:widowControl w:val="0"/>
        <w:numPr>
          <w:ilvl w:val="0"/>
          <w:numId w:val="0"/>
        </w:numPr>
        <w:kinsoku/>
        <w:wordWrap/>
        <w:topLinePunct w:val="0"/>
        <w:bidi w:val="0"/>
        <w:adjustRightInd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sz w:val="21"/>
          <w:szCs w:val="21"/>
          <w:lang w:val="en-US" w:eastAsia="zh-CN"/>
        </w:rPr>
        <w:t>2、</w:t>
      </w:r>
      <w:r>
        <w:rPr>
          <w:rFonts w:ascii="宋体" w:hAnsi="宋体" w:eastAsia="宋体" w:cs="宋体"/>
          <w:sz w:val="21"/>
          <w:szCs w:val="21"/>
        </w:rPr>
        <w:t>供方应按合同规定的时间向需方提供用于设备安装、调试的有关技术资料，系外文的译成中文。</w:t>
      </w:r>
    </w:p>
    <w:p>
      <w:pPr>
        <w:keepNext w:val="0"/>
        <w:keepLines w:val="0"/>
        <w:pageBreakBefore w:val="0"/>
        <w:widowControl w:val="0"/>
        <w:numPr>
          <w:ilvl w:val="0"/>
          <w:numId w:val="0"/>
        </w:numPr>
        <w:kinsoku/>
        <w:wordWrap/>
        <w:topLinePunct w:val="0"/>
        <w:bidi w:val="0"/>
        <w:adjustRightInd w:val="0"/>
        <w:snapToGrid w:val="0"/>
        <w:spacing w:line="360" w:lineRule="auto"/>
        <w:textAlignment w:val="auto"/>
        <w:rPr>
          <w:rFonts w:hint="eastAsia" w:ascii="宋体" w:hAnsi="宋体" w:cs="宋体"/>
          <w:b/>
          <w:bCs/>
          <w:szCs w:val="21"/>
          <w:lang w:val="en-US" w:eastAsia="zh-CN"/>
        </w:rPr>
      </w:pPr>
      <w:r>
        <w:rPr>
          <w:rFonts w:hint="eastAsia" w:ascii="宋体" w:hAnsi="宋体" w:eastAsia="宋体" w:cs="宋体"/>
          <w:b/>
          <w:bCs/>
          <w:szCs w:val="21"/>
        </w:rPr>
        <w:t>五、</w:t>
      </w:r>
      <w:r>
        <w:rPr>
          <w:rFonts w:hint="eastAsia" w:ascii="宋体" w:hAnsi="宋体" w:cs="宋体"/>
          <w:b/>
          <w:bCs/>
          <w:szCs w:val="21"/>
          <w:lang w:val="en-US" w:eastAsia="zh-CN"/>
        </w:rPr>
        <w:t>质量保证</w:t>
      </w:r>
    </w:p>
    <w:p>
      <w:pPr>
        <w:keepNext w:val="0"/>
        <w:keepLines w:val="0"/>
        <w:pageBreakBefore w:val="0"/>
        <w:widowControl w:val="0"/>
        <w:numPr>
          <w:ilvl w:val="0"/>
          <w:numId w:val="0"/>
        </w:numPr>
        <w:kinsoku/>
        <w:wordWrap/>
        <w:topLinePunct w:val="0"/>
        <w:bidi w:val="0"/>
        <w:adjustRightInd w:val="0"/>
        <w:snapToGrid w:val="0"/>
        <w:spacing w:line="360" w:lineRule="auto"/>
        <w:textAlignment w:val="auto"/>
        <w:rPr>
          <w:rFonts w:ascii="宋体" w:hAnsi="宋体" w:eastAsia="宋体" w:cs="宋体"/>
          <w:sz w:val="21"/>
          <w:szCs w:val="21"/>
        </w:rPr>
      </w:pPr>
      <w:r>
        <w:rPr>
          <w:rFonts w:hint="eastAsia" w:ascii="宋体" w:hAnsi="宋体" w:eastAsia="宋体" w:cs="宋体"/>
          <w:sz w:val="21"/>
          <w:szCs w:val="21"/>
          <w:lang w:val="en-US" w:eastAsia="zh-CN"/>
        </w:rPr>
        <w:t>1、</w:t>
      </w:r>
      <w:r>
        <w:rPr>
          <w:rFonts w:ascii="宋体" w:hAnsi="宋体" w:eastAsia="宋体" w:cs="宋体"/>
          <w:sz w:val="21"/>
          <w:szCs w:val="21"/>
        </w:rPr>
        <w:t xml:space="preserve">供方应按合同规定的设备性能、质量标准向需方提供未经使用的全新设备，设备的安装 必须完全满足中华人民共和国国家质量标准及现行规范要求。 </w:t>
      </w:r>
    </w:p>
    <w:p>
      <w:pPr>
        <w:keepNext w:val="0"/>
        <w:keepLines w:val="0"/>
        <w:pageBreakBefore w:val="0"/>
        <w:widowControl w:val="0"/>
        <w:numPr>
          <w:ilvl w:val="0"/>
          <w:numId w:val="0"/>
        </w:numPr>
        <w:kinsoku/>
        <w:wordWrap/>
        <w:topLinePunct w:val="0"/>
        <w:bidi w:val="0"/>
        <w:adjustRightInd w:val="0"/>
        <w:snapToGrid w:val="0"/>
        <w:spacing w:line="360" w:lineRule="auto"/>
        <w:textAlignment w:val="auto"/>
        <w:rPr>
          <w:rFonts w:ascii="宋体" w:hAnsi="宋体" w:eastAsia="宋体" w:cs="宋体"/>
          <w:sz w:val="21"/>
          <w:szCs w:val="21"/>
        </w:rPr>
      </w:pPr>
      <w:r>
        <w:rPr>
          <w:rFonts w:hint="eastAsia" w:ascii="宋体" w:hAnsi="宋体" w:eastAsia="宋体" w:cs="宋体"/>
          <w:sz w:val="21"/>
          <w:szCs w:val="21"/>
          <w:lang w:val="en-US" w:eastAsia="zh-CN"/>
        </w:rPr>
        <w:t>2、</w:t>
      </w:r>
      <w:r>
        <w:rPr>
          <w:rFonts w:ascii="宋体" w:hAnsi="宋体" w:eastAsia="宋体" w:cs="宋体"/>
          <w:sz w:val="21"/>
          <w:szCs w:val="21"/>
        </w:rPr>
        <w:t>供方提供设备的质量保证期为现场安装验收合格之后</w:t>
      </w:r>
      <w:r>
        <w:rPr>
          <w:rFonts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ascii="宋体" w:hAnsi="宋体" w:eastAsia="宋体" w:cs="宋体"/>
          <w:sz w:val="21"/>
          <w:szCs w:val="21"/>
        </w:rPr>
        <w:t>个月。如需方不能及时安装，最长不超过自到货之日起</w:t>
      </w:r>
      <w:r>
        <w:rPr>
          <w:rFonts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ascii="宋体" w:hAnsi="宋体" w:eastAsia="宋体" w:cs="宋体"/>
          <w:sz w:val="21"/>
          <w:szCs w:val="21"/>
        </w:rPr>
        <w:t>个月。在保证期内因设备本身的质量问题发生故障，供方应负责免费修理和更换零部件。对达不到使用要求者，经双方协商，可按以下办法处理：</w:t>
      </w:r>
    </w:p>
    <w:p>
      <w:pPr>
        <w:keepNext w:val="0"/>
        <w:keepLines w:val="0"/>
        <w:pageBreakBefore w:val="0"/>
        <w:widowControl w:val="0"/>
        <w:numPr>
          <w:ilvl w:val="1"/>
          <w:numId w:val="8"/>
        </w:numPr>
        <w:kinsoku/>
        <w:wordWrap/>
        <w:topLinePunct w:val="0"/>
        <w:bidi w:val="0"/>
        <w:adjustRightInd w:val="0"/>
        <w:snapToGrid w:val="0"/>
        <w:spacing w:line="360" w:lineRule="auto"/>
        <w:textAlignment w:val="auto"/>
        <w:rPr>
          <w:rFonts w:ascii="宋体" w:hAnsi="宋体" w:eastAsia="宋体" w:cs="宋体"/>
          <w:sz w:val="21"/>
          <w:szCs w:val="21"/>
        </w:rPr>
      </w:pPr>
      <w:r>
        <w:rPr>
          <w:rFonts w:ascii="宋体" w:hAnsi="宋体" w:eastAsia="宋体" w:cs="宋体"/>
          <w:sz w:val="21"/>
          <w:szCs w:val="21"/>
        </w:rPr>
        <w:t xml:space="preserve">退货处理：供方应退回需方支付的设备款，同时应承担该设备的直接费用（运输、保 险、检验、安装调试、设备款利息及银行手续费等）。 </w:t>
      </w:r>
    </w:p>
    <w:p>
      <w:pPr>
        <w:keepNext w:val="0"/>
        <w:keepLines w:val="0"/>
        <w:pageBreakBefore w:val="0"/>
        <w:widowControl w:val="0"/>
        <w:numPr>
          <w:ilvl w:val="1"/>
          <w:numId w:val="8"/>
        </w:numPr>
        <w:kinsoku/>
        <w:wordWrap/>
        <w:topLinePunct w:val="0"/>
        <w:bidi w:val="0"/>
        <w:adjustRightInd w:val="0"/>
        <w:snapToGrid w:val="0"/>
        <w:spacing w:line="360" w:lineRule="auto"/>
        <w:ind w:left="0" w:leftChars="0" w:firstLine="0" w:firstLineChars="0"/>
        <w:textAlignment w:val="auto"/>
        <w:rPr>
          <w:rFonts w:ascii="宋体" w:hAnsi="宋体" w:eastAsia="宋体" w:cs="宋体"/>
          <w:sz w:val="21"/>
          <w:szCs w:val="21"/>
        </w:rPr>
      </w:pPr>
      <w:r>
        <w:rPr>
          <w:rFonts w:ascii="宋体" w:hAnsi="宋体" w:eastAsia="宋体" w:cs="宋体"/>
          <w:sz w:val="21"/>
          <w:szCs w:val="21"/>
        </w:rPr>
        <w:t xml:space="preserve">更换设备：由供方承担因此所发生的直接费用。 </w:t>
      </w:r>
    </w:p>
    <w:p>
      <w:pPr>
        <w:keepNext w:val="0"/>
        <w:keepLines w:val="0"/>
        <w:pageBreakBefore w:val="0"/>
        <w:widowControl w:val="0"/>
        <w:numPr>
          <w:ilvl w:val="1"/>
          <w:numId w:val="8"/>
        </w:numPr>
        <w:kinsoku/>
        <w:wordWrap/>
        <w:topLinePunct w:val="0"/>
        <w:bidi w:val="0"/>
        <w:adjustRightInd w:val="0"/>
        <w:snapToGrid w:val="0"/>
        <w:spacing w:line="360" w:lineRule="auto"/>
        <w:ind w:left="0" w:leftChars="0" w:firstLine="0" w:firstLineChars="0"/>
        <w:textAlignment w:val="auto"/>
        <w:rPr>
          <w:rFonts w:ascii="宋体" w:hAnsi="宋体" w:eastAsia="宋体" w:cs="宋体"/>
          <w:sz w:val="21"/>
          <w:szCs w:val="21"/>
        </w:rPr>
      </w:pPr>
      <w:r>
        <w:rPr>
          <w:rFonts w:ascii="宋体" w:hAnsi="宋体" w:eastAsia="宋体" w:cs="宋体"/>
          <w:sz w:val="21"/>
          <w:szCs w:val="21"/>
        </w:rPr>
        <w:t xml:space="preserve">贬值处理。 </w:t>
      </w:r>
    </w:p>
    <w:p>
      <w:pPr>
        <w:keepNext w:val="0"/>
        <w:keepLines w:val="0"/>
        <w:pageBreakBefore w:val="0"/>
        <w:widowControl w:val="0"/>
        <w:numPr>
          <w:ilvl w:val="0"/>
          <w:numId w:val="0"/>
        </w:numPr>
        <w:kinsoku/>
        <w:wordWrap/>
        <w:topLinePunct w:val="0"/>
        <w:bidi w:val="0"/>
        <w:adjustRightInd w:val="0"/>
        <w:snapToGrid w:val="0"/>
        <w:spacing w:line="360" w:lineRule="auto"/>
        <w:textAlignment w:val="auto"/>
        <w:rPr>
          <w:rFonts w:ascii="宋体" w:hAnsi="宋体" w:eastAsia="宋体" w:cs="宋体"/>
          <w:sz w:val="21"/>
          <w:szCs w:val="21"/>
        </w:rPr>
      </w:pPr>
      <w:r>
        <w:rPr>
          <w:rFonts w:hint="eastAsia" w:ascii="宋体" w:hAnsi="宋体" w:eastAsia="宋体" w:cs="宋体"/>
          <w:sz w:val="21"/>
          <w:szCs w:val="21"/>
          <w:lang w:val="en-US" w:eastAsia="zh-CN"/>
        </w:rPr>
        <w:t>3、</w:t>
      </w:r>
      <w:r>
        <w:rPr>
          <w:rFonts w:ascii="宋体" w:hAnsi="宋体" w:eastAsia="宋体" w:cs="宋体"/>
          <w:sz w:val="21"/>
          <w:szCs w:val="21"/>
        </w:rPr>
        <w:t>在设备调试阶段，根据需方要求，供方应及时派出现场服务人员，处理现场发生的有关质量技术问题，免费派人指导安装调试。在使用过程中如发生质量问题，供方在接到需方通知后应在</w:t>
      </w:r>
      <w:r>
        <w:rPr>
          <w:rFonts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ascii="宋体" w:hAnsi="宋体" w:eastAsia="宋体" w:cs="宋体"/>
          <w:sz w:val="21"/>
          <w:szCs w:val="21"/>
        </w:rPr>
        <w:t xml:space="preserve">小时内到达需方现场。无故拖延到达维修现场时间，供方应赔偿需方因停机造成的经济损失。 </w:t>
      </w:r>
    </w:p>
    <w:p>
      <w:pPr>
        <w:keepNext w:val="0"/>
        <w:keepLines w:val="0"/>
        <w:pageBreakBefore w:val="0"/>
        <w:widowControl w:val="0"/>
        <w:numPr>
          <w:ilvl w:val="0"/>
          <w:numId w:val="0"/>
        </w:numPr>
        <w:kinsoku/>
        <w:wordWrap/>
        <w:topLinePunct w:val="0"/>
        <w:bidi w:val="0"/>
        <w:adjustRightInd w:val="0"/>
        <w:snapToGrid w:val="0"/>
        <w:spacing w:line="360" w:lineRule="auto"/>
        <w:textAlignment w:val="auto"/>
        <w:rPr>
          <w:rFonts w:ascii="宋体" w:hAnsi="宋体" w:eastAsia="宋体" w:cs="宋体"/>
          <w:sz w:val="21"/>
          <w:szCs w:val="21"/>
        </w:rPr>
      </w:pPr>
      <w:r>
        <w:rPr>
          <w:rFonts w:hint="eastAsia" w:ascii="宋体" w:hAnsi="宋体" w:eastAsia="宋体" w:cs="宋体"/>
          <w:sz w:val="21"/>
          <w:szCs w:val="21"/>
          <w:lang w:val="en-US" w:eastAsia="zh-CN"/>
        </w:rPr>
        <w:t>4、</w:t>
      </w:r>
      <w:r>
        <w:rPr>
          <w:rFonts w:ascii="宋体" w:hAnsi="宋体" w:eastAsia="宋体" w:cs="宋体"/>
          <w:sz w:val="21"/>
          <w:szCs w:val="21"/>
        </w:rPr>
        <w:t xml:space="preserve">因供方违反本合同第五条之规定，给需方造成损失（包括但不限于需方依法维权产生的误工费、诉讼费、财产保全费等及所有衍生的所有费用）均由供方承担。 </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cs="宋体"/>
          <w:b w:val="0"/>
          <w:bCs/>
          <w:color w:val="auto"/>
          <w:sz w:val="21"/>
          <w:szCs w:val="21"/>
          <w:highlight w:val="none"/>
          <w:lang w:val="en-US" w:eastAsia="zh-CN"/>
        </w:rPr>
      </w:pPr>
      <w:r>
        <w:rPr>
          <w:rFonts w:hint="eastAsia" w:ascii="宋体" w:hAnsi="宋体" w:eastAsia="宋体" w:cs="宋体"/>
          <w:b/>
          <w:bCs/>
          <w:szCs w:val="21"/>
        </w:rPr>
        <w:t>六、付款及结算方式：</w:t>
      </w:r>
      <w:r>
        <w:rPr>
          <w:rFonts w:hint="eastAsia" w:ascii="宋体" w:hAnsi="宋体" w:cs="宋体"/>
          <w:b w:val="0"/>
          <w:bCs/>
          <w:color w:val="auto"/>
          <w:sz w:val="21"/>
          <w:szCs w:val="21"/>
          <w:highlight w:val="none"/>
          <w:lang w:val="en-US" w:eastAsia="zh-CN"/>
        </w:rPr>
        <w:t>按实际损耗数量结算。</w:t>
      </w:r>
    </w:p>
    <w:p>
      <w:pPr>
        <w:keepNext w:val="0"/>
        <w:keepLines w:val="0"/>
        <w:pageBreakBefore w:val="0"/>
        <w:widowControl w:val="0"/>
        <w:kinsoku/>
        <w:wordWrap/>
        <w:topLinePunct w:val="0"/>
        <w:bidi w:val="0"/>
        <w:adjustRightInd w:val="0"/>
        <w:snapToGrid w:val="0"/>
        <w:spacing w:line="360" w:lineRule="auto"/>
        <w:textAlignment w:val="auto"/>
        <w:rPr>
          <w:rFonts w:hint="eastAsia" w:hAnsi="宋体" w:cs="宋体"/>
          <w:b/>
          <w:bCs/>
          <w:kern w:val="2"/>
          <w:sz w:val="21"/>
          <w:szCs w:val="21"/>
          <w:lang w:val="en-US" w:eastAsia="zh-CN"/>
        </w:rPr>
      </w:pPr>
      <w:r>
        <w:rPr>
          <w:rFonts w:hint="eastAsia" w:hAnsi="宋体" w:cs="宋体"/>
          <w:b/>
          <w:bCs/>
          <w:kern w:val="2"/>
          <w:sz w:val="21"/>
          <w:szCs w:val="21"/>
          <w:lang w:val="en-US" w:eastAsia="zh-CN"/>
        </w:rPr>
        <w:t>七、培训</w:t>
      </w:r>
    </w:p>
    <w:p>
      <w:pPr>
        <w:keepNext w:val="0"/>
        <w:keepLines w:val="0"/>
        <w:pageBreakBefore w:val="0"/>
        <w:widowControl w:val="0"/>
        <w:kinsoku/>
        <w:wordWrap/>
        <w:topLinePunct w:val="0"/>
        <w:bidi w:val="0"/>
        <w:adjustRightInd w:val="0"/>
        <w:snapToGrid w:val="0"/>
        <w:spacing w:line="360" w:lineRule="auto"/>
        <w:textAlignment w:val="auto"/>
        <w:rPr>
          <w:rFonts w:ascii="宋体" w:hAnsi="宋体" w:eastAsia="宋体" w:cs="宋体"/>
          <w:sz w:val="21"/>
          <w:szCs w:val="21"/>
        </w:rPr>
      </w:pPr>
      <w:r>
        <w:rPr>
          <w:rFonts w:hint="eastAsia" w:ascii="宋体" w:hAnsi="宋体" w:eastAsia="宋体" w:cs="宋体"/>
          <w:sz w:val="21"/>
          <w:szCs w:val="21"/>
          <w:lang w:val="en-US" w:eastAsia="zh-CN"/>
        </w:rPr>
        <w:t>1、</w:t>
      </w:r>
      <w:r>
        <w:rPr>
          <w:rFonts w:ascii="宋体" w:hAnsi="宋体" w:eastAsia="宋体" w:cs="宋体"/>
          <w:sz w:val="21"/>
          <w:szCs w:val="21"/>
        </w:rPr>
        <w:t xml:space="preserve">供方应就设备的安装、调试、维修、保养等对需方医、技人员和维修技术人员进行免费培训。 </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ascii="宋体" w:hAnsi="宋体" w:eastAsia="宋体" w:cs="宋体"/>
          <w:sz w:val="21"/>
          <w:szCs w:val="21"/>
        </w:rPr>
        <w:t>设备验收合格后，供方应免费提供对需方操作人员的现场培训，培训内容包括但不限于仪器构成、维护、工作原理、基本操作、方法建立及应用等，直至需方操作人员完全掌握操作技术为止</w:t>
      </w:r>
      <w:r>
        <w:rPr>
          <w:rFonts w:hint="eastAsia" w:ascii="宋体" w:hAnsi="宋体" w:eastAsia="宋体" w:cs="宋体"/>
          <w:sz w:val="21"/>
          <w:szCs w:val="21"/>
          <w:lang w:eastAsia="zh-CN"/>
        </w:rPr>
        <w:t>。</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八</w:t>
      </w:r>
      <w:r>
        <w:rPr>
          <w:rFonts w:ascii="宋体" w:hAnsi="宋体" w:eastAsia="宋体" w:cs="宋体"/>
          <w:b/>
          <w:bCs/>
          <w:sz w:val="21"/>
          <w:szCs w:val="21"/>
        </w:rPr>
        <w:t>、验收</w:t>
      </w:r>
    </w:p>
    <w:p>
      <w:pPr>
        <w:keepNext w:val="0"/>
        <w:keepLines w:val="0"/>
        <w:pageBreakBefore w:val="0"/>
        <w:widowControl w:val="0"/>
        <w:kinsoku/>
        <w:wordWrap/>
        <w:topLinePunct w:val="0"/>
        <w:bidi w:val="0"/>
        <w:adjustRightInd w:val="0"/>
        <w:snapToGrid w:val="0"/>
        <w:spacing w:line="360" w:lineRule="auto"/>
        <w:textAlignment w:val="auto"/>
        <w:rPr>
          <w:rFonts w:ascii="宋体" w:hAnsi="宋体" w:eastAsia="宋体" w:cs="宋体"/>
          <w:sz w:val="21"/>
          <w:szCs w:val="21"/>
        </w:rPr>
      </w:pPr>
      <w:r>
        <w:rPr>
          <w:rFonts w:hint="eastAsia" w:ascii="宋体" w:hAnsi="宋体" w:eastAsia="宋体" w:cs="宋体"/>
          <w:sz w:val="21"/>
          <w:szCs w:val="21"/>
          <w:lang w:val="en-US" w:eastAsia="zh-CN"/>
        </w:rPr>
        <w:t>1、</w:t>
      </w:r>
      <w:r>
        <w:rPr>
          <w:rFonts w:ascii="宋体" w:hAnsi="宋体" w:eastAsia="宋体" w:cs="宋体"/>
          <w:sz w:val="21"/>
          <w:szCs w:val="21"/>
        </w:rPr>
        <w:t xml:space="preserve">供方交货前应按合同规定的检验方法，做出全面检测。其记录附在质量证明书内。但有关质量、规格、性能、数量或重量的检测不应视为最终检测。供方检验的结果和详细要求应在质量证明书中加以说明。 </w:t>
      </w:r>
    </w:p>
    <w:p>
      <w:pPr>
        <w:keepNext w:val="0"/>
        <w:keepLines w:val="0"/>
        <w:pageBreakBefore w:val="0"/>
        <w:widowControl w:val="0"/>
        <w:kinsoku/>
        <w:wordWrap/>
        <w:topLinePunct w:val="0"/>
        <w:bidi w:val="0"/>
        <w:adjustRightInd w:val="0"/>
        <w:snapToGrid w:val="0"/>
        <w:spacing w:line="360" w:lineRule="auto"/>
        <w:textAlignment w:val="auto"/>
        <w:rPr>
          <w:rFonts w:ascii="宋体" w:hAnsi="宋体" w:eastAsia="宋体" w:cs="宋体"/>
          <w:sz w:val="21"/>
          <w:szCs w:val="21"/>
        </w:rPr>
      </w:pPr>
      <w:r>
        <w:rPr>
          <w:rFonts w:hint="eastAsia" w:ascii="宋体" w:hAnsi="宋体" w:eastAsia="宋体" w:cs="宋体"/>
          <w:sz w:val="21"/>
          <w:szCs w:val="21"/>
          <w:lang w:val="en-US" w:eastAsia="zh-CN"/>
        </w:rPr>
        <w:t>2、</w:t>
      </w:r>
      <w:r>
        <w:rPr>
          <w:rFonts w:ascii="宋体" w:hAnsi="宋体" w:eastAsia="宋体" w:cs="宋体"/>
          <w:sz w:val="21"/>
          <w:szCs w:val="21"/>
        </w:rPr>
        <w:t xml:space="preserve">对重要关键设备，按合同规定由需方负责，双方共同验收。对一般设备，由需方验收。设备到货后，需方应在___天内验收完毕。 </w:t>
      </w:r>
    </w:p>
    <w:p>
      <w:pPr>
        <w:keepNext w:val="0"/>
        <w:keepLines w:val="0"/>
        <w:pageBreakBefore w:val="0"/>
        <w:widowControl w:val="0"/>
        <w:numPr>
          <w:ilvl w:val="0"/>
          <w:numId w:val="0"/>
        </w:numPr>
        <w:kinsoku/>
        <w:wordWrap/>
        <w:topLinePunct w:val="0"/>
        <w:bidi w:val="0"/>
        <w:adjustRightInd w:val="0"/>
        <w:snapToGrid w:val="0"/>
        <w:spacing w:line="360" w:lineRule="auto"/>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九、</w:t>
      </w:r>
      <w:r>
        <w:rPr>
          <w:rFonts w:ascii="宋体" w:hAnsi="宋体" w:eastAsia="宋体" w:cs="宋体"/>
          <w:b/>
          <w:bCs/>
          <w:sz w:val="21"/>
          <w:szCs w:val="21"/>
        </w:rPr>
        <w:t>设备发运、包装及运输</w:t>
      </w:r>
    </w:p>
    <w:p>
      <w:pPr>
        <w:keepNext w:val="0"/>
        <w:keepLines w:val="0"/>
        <w:pageBreakBefore w:val="0"/>
        <w:widowControl w:val="0"/>
        <w:numPr>
          <w:ilvl w:val="0"/>
          <w:numId w:val="0"/>
        </w:numPr>
        <w:kinsoku/>
        <w:wordWrap/>
        <w:topLinePunct w:val="0"/>
        <w:bidi w:val="0"/>
        <w:adjustRightInd w:val="0"/>
        <w:snapToGrid w:val="0"/>
        <w:spacing w:line="360" w:lineRule="auto"/>
        <w:textAlignment w:val="auto"/>
        <w:rPr>
          <w:rFonts w:ascii="宋体" w:hAnsi="宋体" w:eastAsia="宋体" w:cs="宋体"/>
          <w:sz w:val="21"/>
          <w:szCs w:val="21"/>
        </w:rPr>
      </w:pPr>
      <w:r>
        <w:rPr>
          <w:rFonts w:hint="eastAsia" w:ascii="宋体" w:hAnsi="宋体" w:eastAsia="宋体" w:cs="宋体"/>
          <w:sz w:val="21"/>
          <w:szCs w:val="21"/>
          <w:lang w:val="en-US" w:eastAsia="zh-CN"/>
        </w:rPr>
        <w:t>1、</w:t>
      </w:r>
      <w:r>
        <w:rPr>
          <w:rFonts w:ascii="宋体" w:hAnsi="宋体" w:eastAsia="宋体" w:cs="宋体"/>
          <w:sz w:val="21"/>
          <w:szCs w:val="21"/>
        </w:rPr>
        <w:t xml:space="preserve">供方在交货前将货号、设备名称、数量、等用电报或传真等形式通知需方。 </w:t>
      </w:r>
    </w:p>
    <w:p>
      <w:pPr>
        <w:keepNext w:val="0"/>
        <w:keepLines w:val="0"/>
        <w:pageBreakBefore w:val="0"/>
        <w:widowControl w:val="0"/>
        <w:numPr>
          <w:ilvl w:val="0"/>
          <w:numId w:val="0"/>
        </w:numPr>
        <w:kinsoku/>
        <w:wordWrap/>
        <w:topLinePunct w:val="0"/>
        <w:bidi w:val="0"/>
        <w:adjustRightInd w:val="0"/>
        <w:snapToGrid w:val="0"/>
        <w:spacing w:line="360" w:lineRule="auto"/>
        <w:textAlignment w:val="auto"/>
        <w:rPr>
          <w:rFonts w:hint="eastAsia" w:hAnsi="宋体" w:eastAsia="宋体" w:cs="宋体"/>
          <w:b/>
          <w:bCs/>
          <w:kern w:val="2"/>
          <w:sz w:val="21"/>
          <w:szCs w:val="21"/>
          <w:lang w:val="en-US" w:eastAsia="zh-CN"/>
        </w:rPr>
      </w:pPr>
      <w:r>
        <w:rPr>
          <w:rFonts w:hint="eastAsia" w:ascii="宋体" w:hAnsi="宋体" w:eastAsia="宋体" w:cs="宋体"/>
          <w:sz w:val="21"/>
          <w:szCs w:val="21"/>
          <w:lang w:val="en-US" w:eastAsia="zh-CN"/>
        </w:rPr>
        <w:t>2、</w:t>
      </w:r>
      <w:r>
        <w:rPr>
          <w:rFonts w:ascii="宋体" w:hAnsi="宋体" w:eastAsia="宋体" w:cs="宋体"/>
          <w:sz w:val="21"/>
          <w:szCs w:val="21"/>
        </w:rPr>
        <w:t>设备在运输中产生的锈蚀、破损、丢失等均由供方承担责任。包装箱外应用不褪色的油漆，标明应注意的事项。对无包装的设备应系有金属标签</w:t>
      </w:r>
      <w:r>
        <w:rPr>
          <w:rFonts w:hint="eastAsia" w:ascii="宋体" w:hAnsi="宋体" w:eastAsia="宋体" w:cs="宋体"/>
          <w:sz w:val="21"/>
          <w:szCs w:val="21"/>
          <w:lang w:eastAsia="zh-CN"/>
        </w:rPr>
        <w:t>。</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bookmarkStart w:id="3" w:name="_Toc373160039"/>
      <w:r>
        <w:rPr>
          <w:rFonts w:hint="eastAsia" w:hAnsi="宋体" w:cs="宋体"/>
          <w:b/>
          <w:kern w:val="2"/>
          <w:sz w:val="21"/>
          <w:szCs w:val="21"/>
          <w:lang w:val="en-US" w:eastAsia="zh-CN"/>
        </w:rPr>
        <w:t>十</w:t>
      </w:r>
      <w:r>
        <w:rPr>
          <w:rFonts w:hint="eastAsia" w:ascii="宋体" w:hAnsi="宋体" w:eastAsia="宋体" w:cs="宋体"/>
          <w:b/>
          <w:kern w:val="2"/>
          <w:sz w:val="21"/>
          <w:szCs w:val="21"/>
        </w:rPr>
        <w:t>、违约责任</w:t>
      </w:r>
      <w:bookmarkEnd w:id="3"/>
    </w:p>
    <w:p>
      <w:pPr>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color w:val="000000"/>
          <w:szCs w:val="21"/>
        </w:rPr>
      </w:pPr>
      <w:bookmarkStart w:id="4" w:name="_Toc373160040"/>
      <w:r>
        <w:rPr>
          <w:rFonts w:hint="eastAsia" w:ascii="宋体" w:hAnsi="宋体" w:eastAsia="宋体" w:cs="宋体"/>
          <w:color w:val="000000"/>
          <w:szCs w:val="21"/>
        </w:rPr>
        <w:t>1、任何一方出现违约，由此造成的直接经济损失均由违约方负责赔偿。</w:t>
      </w:r>
    </w:p>
    <w:p>
      <w:pPr>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2、乙方若逾期交付，迟延履行违约金以逾期部分价款总额每7日千分之五计算。不足7天按7天计。罚金总额不能超过合同总金额的5%。</w:t>
      </w:r>
    </w:p>
    <w:p>
      <w:pPr>
        <w:keepNext w:val="0"/>
        <w:keepLines w:val="0"/>
        <w:pageBreakBefore w:val="0"/>
        <w:widowControl w:val="0"/>
        <w:kinsoku/>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3、甲方若逾期付款，违约金按每天赔偿逾期付款部分的0.2%计算，但违约金额最高不超过合同总价的5%，一旦达到误期赔偿的最高限额，甲方可考虑终止合同。</w:t>
      </w:r>
    </w:p>
    <w:p>
      <w:pPr>
        <w:keepNext w:val="0"/>
        <w:keepLines w:val="0"/>
        <w:pageBreakBefore w:val="0"/>
        <w:widowControl w:val="0"/>
        <w:kinsoku/>
        <w:wordWrap/>
        <w:topLinePunct w:val="0"/>
        <w:bidi w:val="0"/>
        <w:adjustRightInd w:val="0"/>
        <w:snapToGrid w:val="0"/>
        <w:spacing w:line="360" w:lineRule="auto"/>
        <w:ind w:firstLine="420" w:firstLineChars="200"/>
        <w:jc w:val="left"/>
        <w:textAlignment w:val="auto"/>
        <w:rPr>
          <w:rFonts w:hint="eastAsia" w:ascii="宋体" w:hAnsi="宋体" w:eastAsia="宋体" w:cs="宋体"/>
          <w:i w:val="0"/>
          <w:iCs w:val="0"/>
          <w:caps w:val="0"/>
          <w:spacing w:val="0"/>
          <w:sz w:val="21"/>
          <w:szCs w:val="21"/>
          <w:shd w:val="clear" w:color="auto" w:fill="auto"/>
        </w:rPr>
      </w:pPr>
      <w:r>
        <w:rPr>
          <w:rFonts w:hint="eastAsia" w:ascii="宋体" w:hAnsi="宋体" w:cs="宋体"/>
          <w:color w:val="000000"/>
          <w:szCs w:val="21"/>
          <w:lang w:val="en-US" w:eastAsia="zh-CN"/>
        </w:rPr>
        <w:t>4、</w:t>
      </w:r>
      <w:r>
        <w:rPr>
          <w:rFonts w:hint="eastAsia" w:ascii="宋体" w:hAnsi="宋体" w:eastAsia="宋体" w:cs="宋体"/>
          <w:i w:val="0"/>
          <w:iCs w:val="0"/>
          <w:caps w:val="0"/>
          <w:spacing w:val="0"/>
          <w:sz w:val="21"/>
          <w:szCs w:val="21"/>
          <w:shd w:val="clear" w:color="auto" w:fill="auto"/>
        </w:rPr>
        <w:t xml:space="preserve">乙方未按本合同的规定和“服务承诺”提供伴随服务的，应按合同总价款的5 %向甲方承担违约责任。 </w:t>
      </w:r>
    </w:p>
    <w:p>
      <w:pPr>
        <w:keepNext w:val="0"/>
        <w:keepLines w:val="0"/>
        <w:pageBreakBefore w:val="0"/>
        <w:widowControl w:val="0"/>
        <w:kinsoku/>
        <w:wordWrap/>
        <w:topLinePunct w:val="0"/>
        <w:bidi w:val="0"/>
        <w:adjustRightInd w:val="0"/>
        <w:snapToGrid w:val="0"/>
        <w:spacing w:line="360" w:lineRule="auto"/>
        <w:ind w:firstLine="420" w:firstLineChars="200"/>
        <w:jc w:val="left"/>
        <w:textAlignment w:val="auto"/>
        <w:rPr>
          <w:rFonts w:hint="eastAsia" w:ascii="宋体" w:hAnsi="宋体" w:eastAsia="宋体" w:cs="宋体"/>
          <w:i w:val="0"/>
          <w:iCs w:val="0"/>
          <w:caps w:val="0"/>
          <w:spacing w:val="0"/>
          <w:sz w:val="21"/>
          <w:szCs w:val="21"/>
          <w:shd w:val="clear" w:color="auto" w:fill="auto"/>
        </w:rPr>
      </w:pPr>
      <w:r>
        <w:rPr>
          <w:rFonts w:hint="eastAsia" w:ascii="宋体" w:hAnsi="宋体" w:eastAsia="宋体" w:cs="宋体"/>
          <w:i w:val="0"/>
          <w:iCs w:val="0"/>
          <w:caps w:val="0"/>
          <w:spacing w:val="0"/>
          <w:sz w:val="21"/>
          <w:szCs w:val="21"/>
          <w:shd w:val="clear" w:color="auto" w:fill="auto"/>
        </w:rPr>
        <w:t>5</w:t>
      </w:r>
      <w:r>
        <w:rPr>
          <w:rFonts w:hint="eastAsia" w:ascii="宋体" w:hAnsi="宋体" w:eastAsia="宋体" w:cs="宋体"/>
          <w:i w:val="0"/>
          <w:iCs w:val="0"/>
          <w:caps w:val="0"/>
          <w:spacing w:val="0"/>
          <w:sz w:val="21"/>
          <w:szCs w:val="21"/>
          <w:shd w:val="clear" w:color="auto" w:fill="auto"/>
          <w:lang w:eastAsia="zh-CN"/>
        </w:rPr>
        <w:t>、</w:t>
      </w:r>
      <w:r>
        <w:rPr>
          <w:rFonts w:hint="eastAsia" w:ascii="宋体" w:hAnsi="宋体" w:eastAsia="宋体" w:cs="宋体"/>
          <w:i w:val="0"/>
          <w:iCs w:val="0"/>
          <w:caps w:val="0"/>
          <w:spacing w:val="0"/>
          <w:sz w:val="21"/>
          <w:szCs w:val="21"/>
          <w:shd w:val="clear" w:color="auto" w:fill="auto"/>
        </w:rPr>
        <w:t xml:space="preserve">乙方在承担上述3-5款一项或多项违约责任后，仍应继续履行合同规定的义务（甲方解除合同的除外）。甲方未能及时追究乙方的任何一项违约责任并不表明甲方放弃追究乙方该项或其他违约责任。 </w:t>
      </w:r>
    </w:p>
    <w:p>
      <w:pPr>
        <w:keepNext w:val="0"/>
        <w:keepLines w:val="0"/>
        <w:pageBreakBefore w:val="0"/>
        <w:widowControl w:val="0"/>
        <w:kinsoku/>
        <w:wordWrap/>
        <w:topLinePunct w:val="0"/>
        <w:bidi w:val="0"/>
        <w:adjustRightInd w:val="0"/>
        <w:snapToGrid w:val="0"/>
        <w:spacing w:line="360" w:lineRule="auto"/>
        <w:ind w:firstLine="420" w:firstLineChars="200"/>
        <w:jc w:val="left"/>
        <w:textAlignment w:val="auto"/>
        <w:rPr>
          <w:rFonts w:hint="eastAsia" w:ascii="宋体" w:hAnsi="宋体" w:eastAsia="宋体" w:cs="宋体"/>
          <w:i w:val="0"/>
          <w:iCs w:val="0"/>
          <w:caps w:val="0"/>
          <w:spacing w:val="0"/>
          <w:sz w:val="21"/>
          <w:szCs w:val="21"/>
          <w:shd w:val="clear" w:color="auto" w:fill="auto"/>
        </w:rPr>
      </w:pPr>
      <w:r>
        <w:rPr>
          <w:rFonts w:hint="eastAsia" w:ascii="宋体" w:hAnsi="宋体" w:eastAsia="宋体" w:cs="宋体"/>
          <w:i w:val="0"/>
          <w:iCs w:val="0"/>
          <w:caps w:val="0"/>
          <w:spacing w:val="0"/>
          <w:sz w:val="21"/>
          <w:szCs w:val="21"/>
          <w:shd w:val="clear" w:color="auto" w:fill="auto"/>
        </w:rPr>
        <w:t>6</w:t>
      </w:r>
      <w:r>
        <w:rPr>
          <w:rFonts w:hint="eastAsia" w:ascii="宋体" w:hAnsi="宋体" w:eastAsia="宋体" w:cs="宋体"/>
          <w:i w:val="0"/>
          <w:iCs w:val="0"/>
          <w:caps w:val="0"/>
          <w:spacing w:val="0"/>
          <w:sz w:val="21"/>
          <w:szCs w:val="21"/>
          <w:shd w:val="clear" w:color="auto" w:fill="auto"/>
          <w:lang w:eastAsia="zh-CN"/>
        </w:rPr>
        <w:t>、</w:t>
      </w:r>
      <w:r>
        <w:rPr>
          <w:rFonts w:hint="eastAsia" w:ascii="宋体" w:hAnsi="宋体" w:eastAsia="宋体" w:cs="宋体"/>
          <w:i w:val="0"/>
          <w:iCs w:val="0"/>
          <w:caps w:val="0"/>
          <w:spacing w:val="0"/>
          <w:sz w:val="21"/>
          <w:szCs w:val="21"/>
          <w:shd w:val="clear" w:color="auto" w:fill="auto"/>
        </w:rPr>
        <w:t xml:space="preserve">乙方投标属虚假承诺，或是由于乙方的过错造成合同无法继续履行的，乙方履约保证金不予退还外，还应向甲方支付不少于合同总价30%赔偿金。 </w:t>
      </w:r>
    </w:p>
    <w:p>
      <w:pPr>
        <w:keepNext w:val="0"/>
        <w:keepLines w:val="0"/>
        <w:pageBreakBefore w:val="0"/>
        <w:widowControl w:val="0"/>
        <w:kinsoku/>
        <w:wordWrap/>
        <w:topLinePunct w:val="0"/>
        <w:bidi w:val="0"/>
        <w:adjustRightInd w:val="0"/>
        <w:snapToGrid w:val="0"/>
        <w:spacing w:line="360" w:lineRule="auto"/>
        <w:ind w:firstLine="420" w:firstLineChars="200"/>
        <w:jc w:val="left"/>
        <w:textAlignment w:val="auto"/>
        <w:rPr>
          <w:rFonts w:hint="eastAsia"/>
        </w:rPr>
      </w:pPr>
      <w:r>
        <w:rPr>
          <w:rFonts w:hint="eastAsia" w:ascii="宋体" w:hAnsi="宋体" w:eastAsia="宋体" w:cs="宋体"/>
          <w:i w:val="0"/>
          <w:iCs w:val="0"/>
          <w:caps w:val="0"/>
          <w:spacing w:val="0"/>
          <w:sz w:val="21"/>
          <w:szCs w:val="21"/>
          <w:shd w:val="clear" w:color="auto" w:fill="auto"/>
        </w:rPr>
        <w:t>7</w:t>
      </w:r>
      <w:r>
        <w:rPr>
          <w:rFonts w:hint="eastAsia" w:ascii="宋体" w:hAnsi="宋体" w:eastAsia="宋体" w:cs="宋体"/>
          <w:i w:val="0"/>
          <w:iCs w:val="0"/>
          <w:caps w:val="0"/>
          <w:spacing w:val="0"/>
          <w:sz w:val="21"/>
          <w:szCs w:val="21"/>
          <w:shd w:val="clear" w:color="auto" w:fill="auto"/>
          <w:lang w:eastAsia="zh-CN"/>
        </w:rPr>
        <w:t>、</w:t>
      </w:r>
      <w:r>
        <w:rPr>
          <w:rFonts w:hint="eastAsia" w:ascii="宋体" w:hAnsi="宋体" w:eastAsia="宋体" w:cs="宋体"/>
          <w:i w:val="0"/>
          <w:iCs w:val="0"/>
          <w:caps w:val="0"/>
          <w:spacing w:val="0"/>
          <w:sz w:val="21"/>
          <w:szCs w:val="21"/>
          <w:shd w:val="clear" w:color="auto" w:fill="auto"/>
        </w:rPr>
        <w:t>其他未尽事宜，以《民法典》和其他有关法律法规规定为准，无相关规定的，双方协商解决。</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十一</w:t>
      </w:r>
      <w:r>
        <w:rPr>
          <w:rFonts w:hint="eastAsia" w:ascii="宋体" w:hAnsi="宋体" w:eastAsia="宋体" w:cs="宋体"/>
          <w:b/>
          <w:kern w:val="2"/>
          <w:sz w:val="21"/>
          <w:szCs w:val="21"/>
        </w:rPr>
        <w:t>、其他约定</w:t>
      </w:r>
      <w:bookmarkEnd w:id="4"/>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hAnsi="宋体" w:cs="宋体"/>
          <w:kern w:val="2"/>
          <w:sz w:val="21"/>
          <w:szCs w:val="21"/>
          <w:lang w:eastAsia="zh-CN"/>
        </w:rPr>
        <w:t>谈判文件</w:t>
      </w:r>
      <w:r>
        <w:rPr>
          <w:rFonts w:hint="eastAsia" w:ascii="宋体" w:hAnsi="宋体" w:eastAsia="宋体" w:cs="宋体"/>
          <w:kern w:val="2"/>
          <w:sz w:val="21"/>
          <w:szCs w:val="21"/>
        </w:rPr>
        <w:t>、</w:t>
      </w:r>
      <w:r>
        <w:rPr>
          <w:rFonts w:hint="eastAsia" w:hAnsi="宋体" w:cs="宋体"/>
          <w:kern w:val="2"/>
          <w:sz w:val="21"/>
          <w:szCs w:val="21"/>
          <w:lang w:eastAsia="zh-CN"/>
        </w:rPr>
        <w:t>响应文件</w:t>
      </w:r>
      <w:r>
        <w:rPr>
          <w:rFonts w:hint="eastAsia" w:ascii="宋体" w:hAnsi="宋体" w:eastAsia="宋体" w:cs="宋体"/>
          <w:kern w:val="2"/>
          <w:sz w:val="21"/>
          <w:szCs w:val="21"/>
        </w:rPr>
        <w:t>、“承诺书”等为本合同不可分割的组成部分，与本合同具有同等法律效力。其他末尽事宜或遇不可抗力因素，由甲、乙双方协商解决。</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二</w:t>
      </w:r>
      <w:r>
        <w:rPr>
          <w:rFonts w:hint="eastAsia" w:ascii="宋体" w:hAnsi="宋体" w:eastAsia="宋体" w:cs="宋体"/>
          <w:b/>
          <w:kern w:val="2"/>
          <w:sz w:val="21"/>
          <w:szCs w:val="21"/>
        </w:rPr>
        <w:t>、违约终止合同</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1、在甲方对乙方违约而采取的任何补救措施不受影响的情况下，甲方可向乙方发出终止部分或全部合同的书面通知书。</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2、乙方在收到甲方发出的违约通知后20天内，或经甲方书面认可延长的时间内未能纠正其过失;</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kern w:val="2"/>
          <w:sz w:val="21"/>
          <w:szCs w:val="21"/>
        </w:rPr>
        <w:t>3、如果乙方未能履行合同规定的其他义务。</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三</w:t>
      </w:r>
      <w:r>
        <w:rPr>
          <w:rFonts w:hint="eastAsia" w:ascii="宋体" w:hAnsi="宋体" w:eastAsia="宋体" w:cs="宋体"/>
          <w:b/>
          <w:kern w:val="2"/>
          <w:sz w:val="21"/>
          <w:szCs w:val="21"/>
        </w:rPr>
        <w:t>、不可抗力</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1、如果任何一方由于自然灾害、战争、类似于战争的情况、禁令、骚乱、罢工、封锁和其他不可预见和不受控制的意外事故，而不能履行或迟延履行本合同的义务，则该方不应对另一方承担任何责任。</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四</w:t>
      </w:r>
      <w:r>
        <w:rPr>
          <w:rFonts w:hint="eastAsia" w:ascii="宋体" w:hAnsi="宋体" w:eastAsia="宋体" w:cs="宋体"/>
          <w:b/>
          <w:kern w:val="2"/>
          <w:sz w:val="21"/>
          <w:szCs w:val="21"/>
        </w:rPr>
        <w:t>、税费</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甲方验收合格前发生的一切税费均由乙方负担。</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五</w:t>
      </w:r>
      <w:r>
        <w:rPr>
          <w:rFonts w:hint="eastAsia" w:ascii="宋体" w:hAnsi="宋体" w:eastAsia="宋体" w:cs="宋体"/>
          <w:b/>
          <w:kern w:val="2"/>
          <w:sz w:val="21"/>
          <w:szCs w:val="21"/>
        </w:rPr>
        <w:t>、合同纠纷处理</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六</w:t>
      </w:r>
      <w:r>
        <w:rPr>
          <w:rFonts w:hint="eastAsia" w:ascii="宋体" w:hAnsi="宋体" w:eastAsia="宋体" w:cs="宋体"/>
          <w:b/>
          <w:kern w:val="2"/>
          <w:sz w:val="21"/>
          <w:szCs w:val="21"/>
        </w:rPr>
        <w:t>、转让</w:t>
      </w:r>
    </w:p>
    <w:p>
      <w:pPr>
        <w:pStyle w:val="5"/>
        <w:keepNext w:val="0"/>
        <w:keepLines w:val="0"/>
        <w:pageBreakBefore w:val="0"/>
        <w:widowControl w:val="0"/>
        <w:kinsoku/>
        <w:wordWrap/>
        <w:overflowPunct w:val="0"/>
        <w:topLinePunct w:val="0"/>
        <w:bidi w:val="0"/>
        <w:adjustRightInd w:val="0"/>
        <w:snapToGrid w:val="0"/>
        <w:spacing w:line="360" w:lineRule="auto"/>
        <w:textAlignment w:val="auto"/>
        <w:rPr>
          <w:rFonts w:hint="eastAsia" w:ascii="宋体" w:hAnsi="宋体" w:eastAsia="宋体" w:cs="宋体"/>
        </w:rPr>
      </w:pPr>
      <w:r>
        <w:rPr>
          <w:rFonts w:hint="eastAsia" w:ascii="宋体" w:hAnsi="宋体" w:eastAsia="宋体" w:cs="宋体"/>
          <w:kern w:val="2"/>
          <w:sz w:val="21"/>
          <w:szCs w:val="21"/>
        </w:rPr>
        <w:t>除甲方事先书面同意外，乙方不得部分转让或全部转让其应履行的合同义务。</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七</w:t>
      </w:r>
      <w:r>
        <w:rPr>
          <w:rFonts w:hint="eastAsia" w:ascii="宋体" w:hAnsi="宋体" w:eastAsia="宋体" w:cs="宋体"/>
          <w:b/>
          <w:kern w:val="2"/>
          <w:sz w:val="21"/>
          <w:szCs w:val="21"/>
        </w:rPr>
        <w:t>、合同生效</w:t>
      </w:r>
    </w:p>
    <w:p>
      <w:pPr>
        <w:keepNext w:val="0"/>
        <w:keepLines w:val="0"/>
        <w:pageBreakBefore w:val="0"/>
        <w:widowControl w:val="0"/>
        <w:numPr>
          <w:ilvl w:val="0"/>
          <w:numId w:val="0"/>
        </w:numPr>
        <w:kinsoku/>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lang w:val="en-US" w:eastAsia="zh-CN"/>
        </w:rPr>
        <w:t>1、</w:t>
      </w:r>
      <w:r>
        <w:rPr>
          <w:rFonts w:hint="eastAsia" w:ascii="宋体" w:hAnsi="宋体" w:eastAsia="宋体" w:cs="宋体"/>
          <w:color w:val="000000"/>
          <w:szCs w:val="21"/>
        </w:rPr>
        <w:t>本合同自甲乙方盖章签字及见证方盖章签字之日起生效，如有变动，必须经三方协商一致后，</w:t>
      </w:r>
      <w:r>
        <w:rPr>
          <w:rFonts w:hint="eastAsia" w:ascii="宋体" w:hAnsi="宋体" w:eastAsia="宋体" w:cs="宋体"/>
          <w:color w:val="000000"/>
          <w:szCs w:val="21"/>
          <w:lang w:val="en-US" w:eastAsia="zh-CN"/>
        </w:rPr>
        <w:t>方</w:t>
      </w:r>
      <w:r>
        <w:rPr>
          <w:rFonts w:hint="eastAsia" w:ascii="宋体" w:hAnsi="宋体" w:eastAsia="宋体" w:cs="宋体"/>
          <w:color w:val="000000"/>
          <w:szCs w:val="21"/>
        </w:rPr>
        <w:t>可更改。本合同一式伍份，甲方执贰份，乙方执贰份，见证方执壹份。</w:t>
      </w:r>
    </w:p>
    <w:p>
      <w:pPr>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见证方仅对甲乙双方签订采购合同的事实进行见证，不代表任何承诺或保证，该合同的履行等相关情况均与见证方无任何关系。其他未尽事宜，参照相关法律，双方协商解决。</w:t>
      </w:r>
    </w:p>
    <w:p>
      <w:pPr>
        <w:pStyle w:val="4"/>
        <w:rPr>
          <w:rFonts w:hint="eastAsia"/>
        </w:rPr>
      </w:pP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szCs w:val="21"/>
        </w:rPr>
        <w:t>甲方：</w:t>
      </w:r>
      <w:r>
        <w:rPr>
          <w:rFonts w:hint="eastAsia" w:ascii="宋体" w:hAnsi="宋体" w:cs="宋体"/>
          <w:sz w:val="21"/>
          <w:szCs w:val="21"/>
          <w:lang w:val="en-US" w:eastAsia="zh-CN"/>
        </w:rPr>
        <w:t>常州新北区奔牛人民医院</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单位名称（章）：</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单位地址：</w:t>
      </w:r>
      <w:r>
        <w:rPr>
          <w:rFonts w:hint="eastAsia" w:ascii="宋体" w:hAnsi="宋体" w:cs="宋体"/>
          <w:sz w:val="21"/>
          <w:szCs w:val="21"/>
          <w:lang w:val="en-US" w:eastAsia="zh-CN"/>
        </w:rPr>
        <w:t>新北区奔牛镇天禧南路92号</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法定代表人：</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委托代理人：</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经办人：</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电话：</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乙方：</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 xml:space="preserve">单位名称（章）： </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 xml:space="preserve">单位地址： </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 xml:space="preserve">法定代表人： </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委托代理人：</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 xml:space="preserve">电话： </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 xml:space="preserve">开户银行： </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 xml:space="preserve">银行账号： </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行号：</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lang w:eastAsia="zh-CN"/>
        </w:rPr>
      </w:pPr>
      <w:r>
        <w:rPr>
          <w:rFonts w:hint="eastAsia" w:ascii="宋体" w:hAnsi="宋体" w:eastAsia="宋体" w:cs="宋体"/>
          <w:szCs w:val="21"/>
        </w:rPr>
        <w:t>代理采购机构</w:t>
      </w:r>
      <w:r>
        <w:rPr>
          <w:rFonts w:hint="eastAsia" w:ascii="宋体" w:hAnsi="宋体" w:cs="宋体"/>
          <w:szCs w:val="21"/>
          <w:lang w:eastAsia="zh-CN"/>
        </w:rPr>
        <w:t>：</w:t>
      </w:r>
      <w:r>
        <w:rPr>
          <w:rFonts w:hint="eastAsia" w:ascii="宋体" w:hAnsi="宋体" w:eastAsia="宋体" w:cs="宋体"/>
          <w:szCs w:val="21"/>
          <w:u w:val="none"/>
        </w:rPr>
        <w:t>常州</w:t>
      </w:r>
      <w:r>
        <w:rPr>
          <w:rFonts w:hint="eastAsia" w:ascii="宋体" w:hAnsi="宋体" w:cs="宋体"/>
          <w:szCs w:val="21"/>
          <w:u w:val="none"/>
          <w:lang w:eastAsia="zh-CN"/>
        </w:rPr>
        <w:t>新禾</w:t>
      </w:r>
      <w:r>
        <w:rPr>
          <w:rFonts w:hint="eastAsia" w:ascii="宋体" w:hAnsi="宋体" w:eastAsia="宋体" w:cs="宋体"/>
          <w:szCs w:val="21"/>
          <w:u w:val="none"/>
        </w:rPr>
        <w:t>招投标有限公司</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u w:val="single"/>
        </w:rPr>
      </w:pPr>
      <w:r>
        <w:rPr>
          <w:rFonts w:hint="eastAsia" w:ascii="宋体" w:hAnsi="宋体" w:eastAsia="宋体" w:cs="宋体"/>
          <w:szCs w:val="21"/>
        </w:rPr>
        <w:t>单位名称（章）：</w:t>
      </w:r>
    </w:p>
    <w:p>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szCs w:val="21"/>
          <w:lang w:val="en-US" w:eastAsia="zh-CN"/>
        </w:rPr>
      </w:pPr>
      <w:r>
        <w:rPr>
          <w:rFonts w:hint="eastAsia" w:ascii="宋体" w:hAnsi="宋体" w:eastAsia="宋体" w:cs="宋体"/>
          <w:szCs w:val="21"/>
        </w:rPr>
        <w:t>法定代表人：</w:t>
      </w:r>
      <w:r>
        <w:rPr>
          <w:rFonts w:hint="eastAsia" w:ascii="宋体" w:hAnsi="宋体" w:cs="宋体"/>
          <w:szCs w:val="21"/>
          <w:lang w:val="en-US" w:eastAsia="zh-CN"/>
        </w:rPr>
        <w:t>王益新</w:t>
      </w:r>
    </w:p>
    <w:p>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szCs w:val="21"/>
          <w:lang w:val="en-US" w:eastAsia="zh-CN"/>
        </w:rPr>
      </w:pPr>
      <w:r>
        <w:rPr>
          <w:rFonts w:hint="eastAsia" w:ascii="宋体" w:hAnsi="宋体" w:eastAsia="宋体" w:cs="宋体"/>
          <w:szCs w:val="21"/>
        </w:rPr>
        <w:t>经办人：</w:t>
      </w:r>
      <w:r>
        <w:rPr>
          <w:rFonts w:hint="eastAsia" w:ascii="宋体" w:hAnsi="宋体" w:cs="宋体"/>
          <w:szCs w:val="21"/>
          <w:lang w:val="en-US" w:eastAsia="zh-CN"/>
        </w:rPr>
        <w:t>李女士</w:t>
      </w:r>
    </w:p>
    <w:p>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b/>
          <w:sz w:val="44"/>
          <w:szCs w:val="44"/>
          <w:lang w:val="en-US" w:eastAsia="zh-CN"/>
        </w:rPr>
      </w:pPr>
      <w:r>
        <w:rPr>
          <w:rFonts w:hint="eastAsia" w:ascii="宋体" w:hAnsi="宋体" w:eastAsia="宋体" w:cs="宋体"/>
          <w:szCs w:val="21"/>
        </w:rPr>
        <w:t>电话：</w:t>
      </w:r>
      <w:r>
        <w:rPr>
          <w:rFonts w:hint="eastAsia" w:ascii="宋体" w:hAnsi="宋体" w:cs="宋体"/>
          <w:szCs w:val="21"/>
          <w:lang w:val="en-US" w:eastAsia="zh-CN"/>
        </w:rPr>
        <w:t>0519-80588588</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cs="宋体"/>
          <w:b/>
          <w:szCs w:val="21"/>
          <w:lang w:val="en-US" w:eastAsia="zh-CN"/>
        </w:rPr>
      </w:pPr>
      <w:r>
        <w:rPr>
          <w:rFonts w:hint="eastAsia" w:ascii="宋体" w:hAnsi="宋体" w:cs="宋体"/>
          <w:b/>
          <w:szCs w:val="21"/>
          <w:lang w:val="en-US" w:eastAsia="zh-CN"/>
        </w:rPr>
        <w:t xml:space="preserve"> </w:t>
      </w:r>
    </w:p>
    <w:p>
      <w:pPr>
        <w:pStyle w:val="4"/>
        <w:rPr>
          <w:rFonts w:hint="eastAsia"/>
          <w:lang w:val="en-US" w:eastAsia="zh-CN"/>
        </w:rPr>
      </w:pPr>
    </w:p>
    <w:p>
      <w:pPr>
        <w:keepNext w:val="0"/>
        <w:keepLines w:val="0"/>
        <w:pageBreakBefore w:val="0"/>
        <w:widowControl w:val="0"/>
        <w:kinsoku/>
        <w:wordWrap/>
        <w:topLinePunct w:val="0"/>
        <w:bidi w:val="0"/>
        <w:adjustRightInd w:val="0"/>
        <w:snapToGrid w:val="0"/>
        <w:spacing w:line="360" w:lineRule="auto"/>
        <w:jc w:val="left"/>
        <w:textAlignment w:val="auto"/>
        <w:rPr>
          <w:rFonts w:ascii="宋体" w:hAnsi="宋体" w:cs="宋体"/>
          <w:b/>
          <w:color w:val="auto"/>
          <w:sz w:val="36"/>
          <w:szCs w:val="36"/>
          <w:highlight w:val="none"/>
        </w:rPr>
      </w:pPr>
      <w:r>
        <w:rPr>
          <w:rFonts w:hint="eastAsia" w:ascii="宋体" w:hAnsi="宋体" w:cs="宋体"/>
          <w:b/>
          <w:szCs w:val="21"/>
        </w:rPr>
        <w:t>*以上合同模板仅供参考</w:t>
      </w:r>
    </w:p>
    <w:p>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友 情 提 醒</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w:t>
      </w:r>
      <w:r>
        <w:rPr>
          <w:rFonts w:hint="eastAsia" w:ascii="宋体" w:hAnsi="宋体" w:cs="宋体"/>
          <w:color w:val="auto"/>
          <w:sz w:val="24"/>
          <w:highlight w:val="none"/>
          <w:lang w:eastAsia="zh-CN"/>
        </w:rPr>
        <w:t>递交</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、响应文件</w:t>
      </w:r>
      <w:r>
        <w:rPr>
          <w:rFonts w:hint="eastAsia" w:ascii="宋体" w:hAnsi="宋体" w:cs="宋体"/>
          <w:b/>
          <w:bCs/>
          <w:color w:val="auto"/>
          <w:sz w:val="24"/>
          <w:highlight w:val="none"/>
        </w:rPr>
        <w:t>密封并在封袋骑缝处加盖</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公章</w:t>
      </w:r>
      <w:r>
        <w:rPr>
          <w:rFonts w:hint="eastAsia" w:ascii="宋体" w:hAnsi="宋体" w:cs="宋体"/>
          <w:color w:val="auto"/>
          <w:sz w:val="24"/>
          <w:highlight w:val="none"/>
        </w:rPr>
        <w:t>。资格证明材料提供复印件的一定要加盖公章，有要求提供原件的必须提供原件。</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、需要提供样品的，请严格按</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要求的规格、时间提供。同时注意密封、隐蔽标签的相关要求。</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w:t>
      </w:r>
      <w:r>
        <w:rPr>
          <w:rFonts w:hint="eastAsia" w:ascii="宋体" w:hAnsi="宋体" w:cs="宋体"/>
          <w:color w:val="auto"/>
          <w:sz w:val="24"/>
          <w:highlight w:val="none"/>
          <w:lang w:eastAsia="zh-CN"/>
        </w:rPr>
        <w:t>按无效响应处理</w:t>
      </w:r>
      <w:r>
        <w:rPr>
          <w:rFonts w:hint="eastAsia" w:ascii="宋体" w:hAnsi="宋体" w:cs="宋体"/>
          <w:color w:val="auto"/>
          <w:sz w:val="24"/>
          <w:highlight w:val="none"/>
        </w:rPr>
        <w:t>。</w:t>
      </w: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5、请仔细阅读采购文件中</w:t>
      </w:r>
      <w:r>
        <w:rPr>
          <w:rFonts w:hint="eastAsia" w:ascii="宋体" w:hAnsi="宋体" w:cs="宋体"/>
          <w:b/>
          <w:bCs/>
          <w:color w:val="auto"/>
          <w:sz w:val="24"/>
          <w:highlight w:val="none"/>
          <w:lang w:val="en-US" w:eastAsia="zh-CN"/>
        </w:rPr>
        <w:t>加粗、划线及打“*”</w:t>
      </w:r>
      <w:r>
        <w:rPr>
          <w:rFonts w:hint="eastAsia" w:ascii="宋体" w:hAnsi="宋体" w:cs="宋体"/>
          <w:color w:val="auto"/>
          <w:sz w:val="24"/>
          <w:highlight w:val="none"/>
          <w:lang w:val="en-US" w:eastAsia="zh-CN"/>
        </w:rPr>
        <w:t>项条款。</w:t>
      </w: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我单位十分欢迎您对我单位招标组织工作提出宝贵意见和建议。电话：0519-</w:t>
      </w:r>
      <w:r>
        <w:rPr>
          <w:rFonts w:hint="eastAsia" w:ascii="宋体" w:hAnsi="宋体" w:cs="宋体"/>
          <w:color w:val="auto"/>
          <w:sz w:val="24"/>
          <w:highlight w:val="none"/>
          <w:lang w:val="en-US" w:eastAsia="zh-CN"/>
        </w:rPr>
        <w:t>80588588</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最后祝您投标成功！</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sectPr>
      <w:headerReference r:id="rId4" w:type="default"/>
      <w:footerReference r:id="rId5" w:type="default"/>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eastAsia="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29</w:t>
                          </w:r>
                          <w:r>
                            <w:rPr>
                              <w:rFonts w:hint="eastAsia"/>
                              <w:lang w:eastAsia="zh-CN"/>
                            </w:rP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GLADMg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0s&#10;sz59gBrT7gMmpuGdHzB39gM6M+1BRZu/SIhgHNU9X9WVQyIiP1qv1usKQwJj8wXx2cPzECG9l96S&#10;bDQ04viKqvz0EdKYOqfkas7faWPKCI37x4GY2cNy72OP2UrDfpgI7X17Rj49Tr6hDhedEvPBobB5&#10;SWYjzsZ+No4h6kNXtijXg3B7TNhE6S1XGGGnwjiywm5ar7wTj+8l6+GX2v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RiwAzIAQAAmgMAAA4AAAAAAAAAAQAgAAAAHgEAAGRycy9lMm9Eb2Mu&#10;eG1sUEsFBgAAAAAGAAYAWQEAAFgFA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29</w:t>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hint="default" w:ascii="宋体" w:hAnsi="宋体" w:eastAsia="宋体" w:cs="宋体"/>
        <w:szCs w:val="18"/>
        <w:lang w:val="en-US" w:eastAsia="zh-CN"/>
      </w:rPr>
    </w:pPr>
    <w:r>
      <w:rPr>
        <w:rFonts w:hint="eastAsia" w:ascii="宋体" w:hAnsi="宋体" w:eastAsia="宋体" w:cs="宋体"/>
        <w:szCs w:val="18"/>
      </w:rPr>
      <w:t>常州</w:t>
    </w:r>
    <w:r>
      <w:rPr>
        <w:rFonts w:hint="eastAsia" w:ascii="宋体" w:hAnsi="宋体" w:eastAsia="宋体" w:cs="宋体"/>
        <w:szCs w:val="18"/>
        <w:lang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编号：</w:t>
    </w:r>
    <w:r>
      <w:rPr>
        <w:rFonts w:hint="eastAsia" w:ascii="宋体" w:hAnsi="宋体" w:eastAsia="宋体" w:cs="宋体"/>
        <w:szCs w:val="18"/>
        <w:lang w:val="en-US" w:eastAsia="zh-CN"/>
      </w:rPr>
      <w:t>XHDY2024002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F2594"/>
    <w:multiLevelType w:val="singleLevel"/>
    <w:tmpl w:val="9B7F2594"/>
    <w:lvl w:ilvl="0" w:tentative="0">
      <w:start w:val="1"/>
      <w:numFmt w:val="decimal"/>
      <w:suff w:val="space"/>
      <w:lvlText w:val="%1."/>
      <w:lvlJc w:val="left"/>
    </w:lvl>
  </w:abstractNum>
  <w:abstractNum w:abstractNumId="1">
    <w:nsid w:val="A7281413"/>
    <w:multiLevelType w:val="singleLevel"/>
    <w:tmpl w:val="A7281413"/>
    <w:lvl w:ilvl="0" w:tentative="0">
      <w:start w:val="1"/>
      <w:numFmt w:val="decimal"/>
      <w:lvlText w:val="%1)"/>
      <w:lvlJc w:val="left"/>
      <w:pPr>
        <w:ind w:left="845" w:hanging="425"/>
      </w:pPr>
      <w:rPr>
        <w:rFonts w:hint="default"/>
      </w:rPr>
    </w:lvl>
  </w:abstractNum>
  <w:abstractNum w:abstractNumId="2">
    <w:nsid w:val="CACAFCE0"/>
    <w:multiLevelType w:val="singleLevel"/>
    <w:tmpl w:val="CACAFCE0"/>
    <w:lvl w:ilvl="0" w:tentative="0">
      <w:start w:val="2"/>
      <w:numFmt w:val="chineseCounting"/>
      <w:suff w:val="nothing"/>
      <w:lvlText w:val="%1、"/>
      <w:lvlJc w:val="left"/>
      <w:rPr>
        <w:rFonts w:hint="eastAsia"/>
      </w:rPr>
    </w:lvl>
  </w:abstractNum>
  <w:abstractNum w:abstractNumId="3">
    <w:nsid w:val="D35A0AB2"/>
    <w:multiLevelType w:val="singleLevel"/>
    <w:tmpl w:val="D35A0AB2"/>
    <w:lvl w:ilvl="0" w:tentative="0">
      <w:start w:val="4"/>
      <w:numFmt w:val="chineseCounting"/>
      <w:suff w:val="nothing"/>
      <w:lvlText w:val="%1、"/>
      <w:lvlJc w:val="left"/>
      <w:rPr>
        <w:rFonts w:hint="eastAsia"/>
      </w:rPr>
    </w:lvl>
  </w:abstractNum>
  <w:abstractNum w:abstractNumId="4">
    <w:nsid w:val="E3FC48CF"/>
    <w:multiLevelType w:val="singleLevel"/>
    <w:tmpl w:val="E3FC48CF"/>
    <w:lvl w:ilvl="0" w:tentative="0">
      <w:start w:val="1"/>
      <w:numFmt w:val="decimal"/>
      <w:lvlText w:val="%1."/>
      <w:lvlJc w:val="left"/>
      <w:pPr>
        <w:ind w:left="425" w:hanging="425"/>
      </w:pPr>
      <w:rPr>
        <w:rFonts w:hint="default"/>
      </w:rPr>
    </w:lvl>
  </w:abstractNum>
  <w:abstractNum w:abstractNumId="5">
    <w:nsid w:val="0122A646"/>
    <w:multiLevelType w:val="singleLevel"/>
    <w:tmpl w:val="0122A646"/>
    <w:lvl w:ilvl="0" w:tentative="0">
      <w:start w:val="1"/>
      <w:numFmt w:val="decimal"/>
      <w:lvlText w:val="%1)"/>
      <w:lvlJc w:val="left"/>
      <w:pPr>
        <w:ind w:left="845" w:hanging="425"/>
      </w:pPr>
      <w:rPr>
        <w:rFonts w:hint="default"/>
      </w:rPr>
    </w:lvl>
  </w:abstractNum>
  <w:abstractNum w:abstractNumId="6">
    <w:nsid w:val="0E421545"/>
    <w:multiLevelType w:val="singleLevel"/>
    <w:tmpl w:val="0E421545"/>
    <w:lvl w:ilvl="0" w:tentative="0">
      <w:start w:val="1"/>
      <w:numFmt w:val="chineseCounting"/>
      <w:suff w:val="nothing"/>
      <w:lvlText w:val="%1、"/>
      <w:lvlJc w:val="left"/>
      <w:rPr>
        <w:rFonts w:hint="eastAsia"/>
      </w:rPr>
    </w:lvl>
  </w:abstractNum>
  <w:abstractNum w:abstractNumId="7">
    <w:nsid w:val="21854D37"/>
    <w:multiLevelType w:val="singleLevel"/>
    <w:tmpl w:val="21854D37"/>
    <w:lvl w:ilvl="0" w:tentative="0">
      <w:start w:val="1"/>
      <w:numFmt w:val="decimal"/>
      <w:lvlText w:val="%1."/>
      <w:lvlJc w:val="left"/>
      <w:pPr>
        <w:ind w:left="425" w:hanging="425"/>
      </w:pPr>
      <w:rPr>
        <w:rFonts w:hint="default" w:ascii="宋体" w:hAnsi="宋体" w:eastAsia="宋体" w:cs="宋体"/>
      </w:rPr>
    </w:lvl>
  </w:abstractNum>
  <w:abstractNum w:abstractNumId="8">
    <w:nsid w:val="5762DAF7"/>
    <w:multiLevelType w:val="singleLevel"/>
    <w:tmpl w:val="5762DAF7"/>
    <w:lvl w:ilvl="0" w:tentative="0">
      <w:start w:val="1"/>
      <w:numFmt w:val="decimal"/>
      <w:lvlText w:val="%1."/>
      <w:lvlJc w:val="left"/>
      <w:pPr>
        <w:ind w:left="845" w:hanging="425"/>
      </w:pPr>
      <w:rPr>
        <w:rFonts w:hint="default"/>
      </w:rPr>
    </w:lvl>
  </w:abstractNum>
  <w:abstractNum w:abstractNumId="9">
    <w:nsid w:val="5FA6997E"/>
    <w:multiLevelType w:val="singleLevel"/>
    <w:tmpl w:val="5FA6997E"/>
    <w:lvl w:ilvl="0" w:tentative="0">
      <w:start w:val="2"/>
      <w:numFmt w:val="chineseCounting"/>
      <w:suff w:val="nothing"/>
      <w:lvlText w:val="%1、"/>
      <w:lvlJc w:val="left"/>
      <w:rPr>
        <w:rFonts w:hint="eastAsia"/>
      </w:rPr>
    </w:lvl>
  </w:abstractNum>
  <w:abstractNum w:abstractNumId="10">
    <w:nsid w:val="6C916E81"/>
    <w:multiLevelType w:val="multilevel"/>
    <w:tmpl w:val="6C916E81"/>
    <w:lvl w:ilvl="0" w:tentative="0">
      <w:start w:val="1"/>
      <w:numFmt w:val="decimal"/>
      <w:lvlText w:val="%1."/>
      <w:lvlJc w:val="left"/>
      <w:pPr>
        <w:ind w:left="845" w:hanging="425"/>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7"/>
  </w:num>
  <w:num w:numId="2">
    <w:abstractNumId w:val="9"/>
  </w:num>
  <w:num w:numId="3">
    <w:abstractNumId w:val="0"/>
  </w:num>
  <w:num w:numId="4">
    <w:abstractNumId w:val="4"/>
  </w:num>
  <w:num w:numId="5">
    <w:abstractNumId w:val="6"/>
  </w:num>
  <w:num w:numId="6">
    <w:abstractNumId w:val="8"/>
  </w:num>
  <w:num w:numId="7">
    <w:abstractNumId w:val="2"/>
  </w:num>
  <w:num w:numId="8">
    <w:abstractNumId w:val="10"/>
  </w:num>
  <w:num w:numId="9">
    <w:abstractNumId w:val="1"/>
  </w:num>
  <w:num w:numId="10">
    <w:abstractNumId w:val="5"/>
  </w:num>
  <w:num w:numId="1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kOGVkMmQ5Mjg0Y2EzNzExMjg3MTU1MGY5MmI0MTEifQ=="/>
  </w:docVars>
  <w:rsids>
    <w:rsidRoot w:val="007300A9"/>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6980"/>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3F40D2"/>
    <w:rsid w:val="014A4F32"/>
    <w:rsid w:val="015F128D"/>
    <w:rsid w:val="016503A6"/>
    <w:rsid w:val="016E364C"/>
    <w:rsid w:val="01767C69"/>
    <w:rsid w:val="017E245C"/>
    <w:rsid w:val="017F481A"/>
    <w:rsid w:val="018C014C"/>
    <w:rsid w:val="019B5966"/>
    <w:rsid w:val="01B16FC1"/>
    <w:rsid w:val="01B8206D"/>
    <w:rsid w:val="01CD01C2"/>
    <w:rsid w:val="01D1079A"/>
    <w:rsid w:val="01D9333C"/>
    <w:rsid w:val="01E25342"/>
    <w:rsid w:val="01EA2F1C"/>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854BB1"/>
    <w:rsid w:val="03877CF9"/>
    <w:rsid w:val="039E6329"/>
    <w:rsid w:val="039E7F7B"/>
    <w:rsid w:val="03AD4233"/>
    <w:rsid w:val="03BF2780"/>
    <w:rsid w:val="03EB789D"/>
    <w:rsid w:val="03F91028"/>
    <w:rsid w:val="040C6BB2"/>
    <w:rsid w:val="041C708D"/>
    <w:rsid w:val="042A78B2"/>
    <w:rsid w:val="04331E86"/>
    <w:rsid w:val="04427A62"/>
    <w:rsid w:val="045416CE"/>
    <w:rsid w:val="045A1824"/>
    <w:rsid w:val="0461314E"/>
    <w:rsid w:val="047D3FAB"/>
    <w:rsid w:val="04907B42"/>
    <w:rsid w:val="0494527B"/>
    <w:rsid w:val="049644A9"/>
    <w:rsid w:val="04970669"/>
    <w:rsid w:val="049A5D12"/>
    <w:rsid w:val="049F5951"/>
    <w:rsid w:val="04AF28BB"/>
    <w:rsid w:val="04B60FCF"/>
    <w:rsid w:val="04C4734F"/>
    <w:rsid w:val="04CC543F"/>
    <w:rsid w:val="04EF6F20"/>
    <w:rsid w:val="04F91C1A"/>
    <w:rsid w:val="04FB6A7F"/>
    <w:rsid w:val="051625A4"/>
    <w:rsid w:val="052A61D5"/>
    <w:rsid w:val="05384F87"/>
    <w:rsid w:val="05456B5E"/>
    <w:rsid w:val="054C48A9"/>
    <w:rsid w:val="05505FE0"/>
    <w:rsid w:val="05544181"/>
    <w:rsid w:val="05596FBE"/>
    <w:rsid w:val="05597FF1"/>
    <w:rsid w:val="057B7EA1"/>
    <w:rsid w:val="057E1B2C"/>
    <w:rsid w:val="058F5C27"/>
    <w:rsid w:val="05952EED"/>
    <w:rsid w:val="05976930"/>
    <w:rsid w:val="05A56591"/>
    <w:rsid w:val="05A94DC6"/>
    <w:rsid w:val="05B30673"/>
    <w:rsid w:val="05B87783"/>
    <w:rsid w:val="05BC79C0"/>
    <w:rsid w:val="05CC3BDD"/>
    <w:rsid w:val="05D07871"/>
    <w:rsid w:val="05DE3080"/>
    <w:rsid w:val="05E110F1"/>
    <w:rsid w:val="05FC5570"/>
    <w:rsid w:val="06036B17"/>
    <w:rsid w:val="060C3A37"/>
    <w:rsid w:val="062B771E"/>
    <w:rsid w:val="062D2343"/>
    <w:rsid w:val="06335DD6"/>
    <w:rsid w:val="06382900"/>
    <w:rsid w:val="06391463"/>
    <w:rsid w:val="06494938"/>
    <w:rsid w:val="064B5E09"/>
    <w:rsid w:val="064F2DD7"/>
    <w:rsid w:val="06513DE6"/>
    <w:rsid w:val="065B2C7F"/>
    <w:rsid w:val="06616BCB"/>
    <w:rsid w:val="066333A8"/>
    <w:rsid w:val="066962F9"/>
    <w:rsid w:val="066D0BE2"/>
    <w:rsid w:val="066F125F"/>
    <w:rsid w:val="06734824"/>
    <w:rsid w:val="06764DB8"/>
    <w:rsid w:val="06795A5E"/>
    <w:rsid w:val="068E57B8"/>
    <w:rsid w:val="069E3AE4"/>
    <w:rsid w:val="06B11D43"/>
    <w:rsid w:val="06B126EC"/>
    <w:rsid w:val="06B364A4"/>
    <w:rsid w:val="06BE57D3"/>
    <w:rsid w:val="06C70571"/>
    <w:rsid w:val="06CA4459"/>
    <w:rsid w:val="06CB49D3"/>
    <w:rsid w:val="06E226F7"/>
    <w:rsid w:val="06E45933"/>
    <w:rsid w:val="06EE78AD"/>
    <w:rsid w:val="06EF6F58"/>
    <w:rsid w:val="06F17F9F"/>
    <w:rsid w:val="06FB4865"/>
    <w:rsid w:val="06FF494A"/>
    <w:rsid w:val="070E31BE"/>
    <w:rsid w:val="07221E01"/>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D17599"/>
    <w:rsid w:val="07DD5132"/>
    <w:rsid w:val="07DE2442"/>
    <w:rsid w:val="07EA4F51"/>
    <w:rsid w:val="07EC27EC"/>
    <w:rsid w:val="07EC5EBF"/>
    <w:rsid w:val="080930BD"/>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231B35"/>
    <w:rsid w:val="092D2993"/>
    <w:rsid w:val="093673BE"/>
    <w:rsid w:val="09374C6E"/>
    <w:rsid w:val="09442FAF"/>
    <w:rsid w:val="094C48F6"/>
    <w:rsid w:val="095E6FCF"/>
    <w:rsid w:val="09616854"/>
    <w:rsid w:val="0964465B"/>
    <w:rsid w:val="097852C6"/>
    <w:rsid w:val="097A2E48"/>
    <w:rsid w:val="0991763E"/>
    <w:rsid w:val="099717E0"/>
    <w:rsid w:val="099C6310"/>
    <w:rsid w:val="099C78B2"/>
    <w:rsid w:val="09A43A3C"/>
    <w:rsid w:val="09AB5E1A"/>
    <w:rsid w:val="09AE4AC8"/>
    <w:rsid w:val="09B04FB1"/>
    <w:rsid w:val="09B656EB"/>
    <w:rsid w:val="09C47B93"/>
    <w:rsid w:val="09D03648"/>
    <w:rsid w:val="09D65906"/>
    <w:rsid w:val="09E33BE1"/>
    <w:rsid w:val="09EC6911"/>
    <w:rsid w:val="09F545D5"/>
    <w:rsid w:val="09FB5DD0"/>
    <w:rsid w:val="0A0433A4"/>
    <w:rsid w:val="0A105BAB"/>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F7C9E"/>
    <w:rsid w:val="0AA30284"/>
    <w:rsid w:val="0AA31A4B"/>
    <w:rsid w:val="0AAB52BC"/>
    <w:rsid w:val="0AAD31D3"/>
    <w:rsid w:val="0AAF5E4B"/>
    <w:rsid w:val="0AAF604F"/>
    <w:rsid w:val="0AE070A0"/>
    <w:rsid w:val="0B08779E"/>
    <w:rsid w:val="0B0962A9"/>
    <w:rsid w:val="0B0F09DB"/>
    <w:rsid w:val="0B244820"/>
    <w:rsid w:val="0B267571"/>
    <w:rsid w:val="0B425C1A"/>
    <w:rsid w:val="0B537370"/>
    <w:rsid w:val="0B600381"/>
    <w:rsid w:val="0B7E65C4"/>
    <w:rsid w:val="0B7F5C31"/>
    <w:rsid w:val="0B8245A3"/>
    <w:rsid w:val="0B8340AB"/>
    <w:rsid w:val="0B9B1BEF"/>
    <w:rsid w:val="0BA17748"/>
    <w:rsid w:val="0BA305BB"/>
    <w:rsid w:val="0BB827D5"/>
    <w:rsid w:val="0BC6073C"/>
    <w:rsid w:val="0BCA74A5"/>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F6DB1"/>
    <w:rsid w:val="0D3518CA"/>
    <w:rsid w:val="0D3A08C1"/>
    <w:rsid w:val="0D3C6282"/>
    <w:rsid w:val="0D3E490D"/>
    <w:rsid w:val="0D4B605F"/>
    <w:rsid w:val="0D5432FB"/>
    <w:rsid w:val="0D667280"/>
    <w:rsid w:val="0D6E155E"/>
    <w:rsid w:val="0D757FA8"/>
    <w:rsid w:val="0D7A36B3"/>
    <w:rsid w:val="0D89061D"/>
    <w:rsid w:val="0D897F72"/>
    <w:rsid w:val="0D8A3F0A"/>
    <w:rsid w:val="0D8E3FFD"/>
    <w:rsid w:val="0D942926"/>
    <w:rsid w:val="0D9F2B19"/>
    <w:rsid w:val="0DA102A4"/>
    <w:rsid w:val="0DA365B6"/>
    <w:rsid w:val="0DB169DA"/>
    <w:rsid w:val="0DBE1AF6"/>
    <w:rsid w:val="0DC24763"/>
    <w:rsid w:val="0DD02668"/>
    <w:rsid w:val="0DD9786A"/>
    <w:rsid w:val="0DDF7D41"/>
    <w:rsid w:val="0DEA2EF7"/>
    <w:rsid w:val="0E1530CB"/>
    <w:rsid w:val="0E2570A8"/>
    <w:rsid w:val="0E4975B6"/>
    <w:rsid w:val="0E640E00"/>
    <w:rsid w:val="0E72499A"/>
    <w:rsid w:val="0E7B2EBF"/>
    <w:rsid w:val="0E81551A"/>
    <w:rsid w:val="0E8208E0"/>
    <w:rsid w:val="0E84110E"/>
    <w:rsid w:val="0E872517"/>
    <w:rsid w:val="0E8B71BD"/>
    <w:rsid w:val="0E8D298B"/>
    <w:rsid w:val="0E9570A4"/>
    <w:rsid w:val="0EA15CFE"/>
    <w:rsid w:val="0EA62B03"/>
    <w:rsid w:val="0EA9095E"/>
    <w:rsid w:val="0EAB15BB"/>
    <w:rsid w:val="0EBD53BD"/>
    <w:rsid w:val="0EC06AA7"/>
    <w:rsid w:val="0EC861EA"/>
    <w:rsid w:val="0ECF0F21"/>
    <w:rsid w:val="0EDB0D5E"/>
    <w:rsid w:val="0EF04C8D"/>
    <w:rsid w:val="0EFC6256"/>
    <w:rsid w:val="0EFD06DD"/>
    <w:rsid w:val="0F040376"/>
    <w:rsid w:val="0F043426"/>
    <w:rsid w:val="0F2508AB"/>
    <w:rsid w:val="0F2843C8"/>
    <w:rsid w:val="0F2C1AC2"/>
    <w:rsid w:val="0F345121"/>
    <w:rsid w:val="0F371DB4"/>
    <w:rsid w:val="0F4C481B"/>
    <w:rsid w:val="0F4C79DC"/>
    <w:rsid w:val="0F540B02"/>
    <w:rsid w:val="0F56516B"/>
    <w:rsid w:val="0F581998"/>
    <w:rsid w:val="0F5B395A"/>
    <w:rsid w:val="0F5C6EA0"/>
    <w:rsid w:val="0F665E0F"/>
    <w:rsid w:val="0F736D1B"/>
    <w:rsid w:val="0F7E7650"/>
    <w:rsid w:val="0F7F3DA7"/>
    <w:rsid w:val="0F7F7188"/>
    <w:rsid w:val="0F8E5995"/>
    <w:rsid w:val="0F9906C7"/>
    <w:rsid w:val="0F9B4559"/>
    <w:rsid w:val="0FA10517"/>
    <w:rsid w:val="0FAF72B5"/>
    <w:rsid w:val="0FB042F7"/>
    <w:rsid w:val="0FB15BAB"/>
    <w:rsid w:val="0FBD1412"/>
    <w:rsid w:val="0FC474A2"/>
    <w:rsid w:val="0FC56D9C"/>
    <w:rsid w:val="0FC65DB1"/>
    <w:rsid w:val="0FCB3E8C"/>
    <w:rsid w:val="0FD12196"/>
    <w:rsid w:val="0FDF4C79"/>
    <w:rsid w:val="0FE3414F"/>
    <w:rsid w:val="0FE637BC"/>
    <w:rsid w:val="0FE7364D"/>
    <w:rsid w:val="0FEB6756"/>
    <w:rsid w:val="0FF84AD8"/>
    <w:rsid w:val="100273E0"/>
    <w:rsid w:val="10267CAD"/>
    <w:rsid w:val="103976CD"/>
    <w:rsid w:val="103D5D73"/>
    <w:rsid w:val="104F30BD"/>
    <w:rsid w:val="1063048D"/>
    <w:rsid w:val="108259AC"/>
    <w:rsid w:val="10830B27"/>
    <w:rsid w:val="109A59BE"/>
    <w:rsid w:val="10B42601"/>
    <w:rsid w:val="10C019CE"/>
    <w:rsid w:val="10CB1FF5"/>
    <w:rsid w:val="10CC1058"/>
    <w:rsid w:val="10CE7A22"/>
    <w:rsid w:val="10D03088"/>
    <w:rsid w:val="10DC0A16"/>
    <w:rsid w:val="10DD70C0"/>
    <w:rsid w:val="10E2326F"/>
    <w:rsid w:val="11080D80"/>
    <w:rsid w:val="11250CAA"/>
    <w:rsid w:val="11272063"/>
    <w:rsid w:val="11414F3D"/>
    <w:rsid w:val="11555FA2"/>
    <w:rsid w:val="1161387F"/>
    <w:rsid w:val="11641A4D"/>
    <w:rsid w:val="116A348C"/>
    <w:rsid w:val="117403B0"/>
    <w:rsid w:val="117D341D"/>
    <w:rsid w:val="118774BF"/>
    <w:rsid w:val="11925487"/>
    <w:rsid w:val="11973DEE"/>
    <w:rsid w:val="11A26CFB"/>
    <w:rsid w:val="11A317D4"/>
    <w:rsid w:val="11AF1916"/>
    <w:rsid w:val="11B9099E"/>
    <w:rsid w:val="11BC25D5"/>
    <w:rsid w:val="11C66126"/>
    <w:rsid w:val="12073D16"/>
    <w:rsid w:val="12183CA8"/>
    <w:rsid w:val="122177B8"/>
    <w:rsid w:val="122F65A1"/>
    <w:rsid w:val="12323314"/>
    <w:rsid w:val="1235004D"/>
    <w:rsid w:val="12420F1D"/>
    <w:rsid w:val="124649F8"/>
    <w:rsid w:val="12534562"/>
    <w:rsid w:val="126975CF"/>
    <w:rsid w:val="126F3769"/>
    <w:rsid w:val="128130CC"/>
    <w:rsid w:val="12853526"/>
    <w:rsid w:val="129A79FF"/>
    <w:rsid w:val="12A077B4"/>
    <w:rsid w:val="12A423F5"/>
    <w:rsid w:val="12CC3CA4"/>
    <w:rsid w:val="12CC53EB"/>
    <w:rsid w:val="12DE6F70"/>
    <w:rsid w:val="12E90B90"/>
    <w:rsid w:val="130104CA"/>
    <w:rsid w:val="1312441E"/>
    <w:rsid w:val="133510EA"/>
    <w:rsid w:val="133802F0"/>
    <w:rsid w:val="133813D7"/>
    <w:rsid w:val="13391832"/>
    <w:rsid w:val="135118F0"/>
    <w:rsid w:val="13516E4A"/>
    <w:rsid w:val="136532B2"/>
    <w:rsid w:val="1369697D"/>
    <w:rsid w:val="13847C87"/>
    <w:rsid w:val="13852FD2"/>
    <w:rsid w:val="139A00AB"/>
    <w:rsid w:val="139C75BE"/>
    <w:rsid w:val="13A215CF"/>
    <w:rsid w:val="13A356C8"/>
    <w:rsid w:val="13BB706F"/>
    <w:rsid w:val="13BC50FE"/>
    <w:rsid w:val="13C34001"/>
    <w:rsid w:val="13C67BA8"/>
    <w:rsid w:val="13CA4F67"/>
    <w:rsid w:val="13D6308C"/>
    <w:rsid w:val="13D64852"/>
    <w:rsid w:val="13D65856"/>
    <w:rsid w:val="13DB3B20"/>
    <w:rsid w:val="13DD0699"/>
    <w:rsid w:val="13E51388"/>
    <w:rsid w:val="13EC33BF"/>
    <w:rsid w:val="140E3A93"/>
    <w:rsid w:val="14145B41"/>
    <w:rsid w:val="1419084A"/>
    <w:rsid w:val="141C3D1C"/>
    <w:rsid w:val="14242AAE"/>
    <w:rsid w:val="142A3D31"/>
    <w:rsid w:val="142B7780"/>
    <w:rsid w:val="142D5961"/>
    <w:rsid w:val="14345B24"/>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B10F7"/>
    <w:rsid w:val="14FC6915"/>
    <w:rsid w:val="14FD693F"/>
    <w:rsid w:val="14FD7508"/>
    <w:rsid w:val="150F5309"/>
    <w:rsid w:val="15110C55"/>
    <w:rsid w:val="15151407"/>
    <w:rsid w:val="151D1467"/>
    <w:rsid w:val="1530795E"/>
    <w:rsid w:val="153C2AE7"/>
    <w:rsid w:val="15477A87"/>
    <w:rsid w:val="154910EC"/>
    <w:rsid w:val="1551169F"/>
    <w:rsid w:val="15596324"/>
    <w:rsid w:val="155D281D"/>
    <w:rsid w:val="155E5C21"/>
    <w:rsid w:val="156356E3"/>
    <w:rsid w:val="157645A1"/>
    <w:rsid w:val="15845E4D"/>
    <w:rsid w:val="15A07853"/>
    <w:rsid w:val="15A46002"/>
    <w:rsid w:val="15A65ECA"/>
    <w:rsid w:val="15C723C2"/>
    <w:rsid w:val="15CF3605"/>
    <w:rsid w:val="15D25C4D"/>
    <w:rsid w:val="15DB39C8"/>
    <w:rsid w:val="15DD7DE4"/>
    <w:rsid w:val="15E070A4"/>
    <w:rsid w:val="15E55A9B"/>
    <w:rsid w:val="15EA1F25"/>
    <w:rsid w:val="15FB211C"/>
    <w:rsid w:val="15FE524D"/>
    <w:rsid w:val="16011FAC"/>
    <w:rsid w:val="1615796A"/>
    <w:rsid w:val="1616455E"/>
    <w:rsid w:val="16230F1D"/>
    <w:rsid w:val="1623622B"/>
    <w:rsid w:val="16257F28"/>
    <w:rsid w:val="162903AC"/>
    <w:rsid w:val="16296B9A"/>
    <w:rsid w:val="16303929"/>
    <w:rsid w:val="16356D56"/>
    <w:rsid w:val="1664315E"/>
    <w:rsid w:val="166B4C08"/>
    <w:rsid w:val="167815F1"/>
    <w:rsid w:val="1684780A"/>
    <w:rsid w:val="16907511"/>
    <w:rsid w:val="169417B1"/>
    <w:rsid w:val="16953412"/>
    <w:rsid w:val="16A356EA"/>
    <w:rsid w:val="16AD0862"/>
    <w:rsid w:val="16B13DF2"/>
    <w:rsid w:val="16B37758"/>
    <w:rsid w:val="16B55536"/>
    <w:rsid w:val="16C66D56"/>
    <w:rsid w:val="16CF03A0"/>
    <w:rsid w:val="16EF3DD3"/>
    <w:rsid w:val="170B4949"/>
    <w:rsid w:val="171D70E8"/>
    <w:rsid w:val="17202F29"/>
    <w:rsid w:val="172264B1"/>
    <w:rsid w:val="17253D6B"/>
    <w:rsid w:val="172B7D97"/>
    <w:rsid w:val="1738453D"/>
    <w:rsid w:val="173E11E2"/>
    <w:rsid w:val="17422A3B"/>
    <w:rsid w:val="17457B0D"/>
    <w:rsid w:val="17473809"/>
    <w:rsid w:val="17547569"/>
    <w:rsid w:val="17572DDD"/>
    <w:rsid w:val="175F0484"/>
    <w:rsid w:val="1764430C"/>
    <w:rsid w:val="177F1FA7"/>
    <w:rsid w:val="17851444"/>
    <w:rsid w:val="178C57E4"/>
    <w:rsid w:val="17993C87"/>
    <w:rsid w:val="17995DB3"/>
    <w:rsid w:val="17A84DA6"/>
    <w:rsid w:val="17AD602B"/>
    <w:rsid w:val="17AF4D8D"/>
    <w:rsid w:val="17B830CF"/>
    <w:rsid w:val="17BD1A07"/>
    <w:rsid w:val="17BE129B"/>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D5EB2"/>
    <w:rsid w:val="183F3D91"/>
    <w:rsid w:val="18475613"/>
    <w:rsid w:val="185525F6"/>
    <w:rsid w:val="185D158B"/>
    <w:rsid w:val="186518C3"/>
    <w:rsid w:val="1870562A"/>
    <w:rsid w:val="18787932"/>
    <w:rsid w:val="187A0BD5"/>
    <w:rsid w:val="188D2B44"/>
    <w:rsid w:val="18915F75"/>
    <w:rsid w:val="18A32000"/>
    <w:rsid w:val="18A50733"/>
    <w:rsid w:val="18AE2DC4"/>
    <w:rsid w:val="18B55867"/>
    <w:rsid w:val="18CD13D6"/>
    <w:rsid w:val="18DF718A"/>
    <w:rsid w:val="18E8303D"/>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70C10"/>
    <w:rsid w:val="19D40BF7"/>
    <w:rsid w:val="19D87647"/>
    <w:rsid w:val="19E361BD"/>
    <w:rsid w:val="19E634E9"/>
    <w:rsid w:val="19F56470"/>
    <w:rsid w:val="19F83736"/>
    <w:rsid w:val="19FE0B47"/>
    <w:rsid w:val="1A072A8C"/>
    <w:rsid w:val="1A082217"/>
    <w:rsid w:val="1A0F1829"/>
    <w:rsid w:val="1A123654"/>
    <w:rsid w:val="1A1247DF"/>
    <w:rsid w:val="1A233E9D"/>
    <w:rsid w:val="1A2401B9"/>
    <w:rsid w:val="1A2B4DCC"/>
    <w:rsid w:val="1A355153"/>
    <w:rsid w:val="1A36179D"/>
    <w:rsid w:val="1A364751"/>
    <w:rsid w:val="1A416079"/>
    <w:rsid w:val="1A5318A4"/>
    <w:rsid w:val="1A533314"/>
    <w:rsid w:val="1A5D2467"/>
    <w:rsid w:val="1A5F2D3A"/>
    <w:rsid w:val="1A7C45DC"/>
    <w:rsid w:val="1A81651E"/>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5069EF"/>
    <w:rsid w:val="1B54516F"/>
    <w:rsid w:val="1B6A0B60"/>
    <w:rsid w:val="1B6C3664"/>
    <w:rsid w:val="1B742E5E"/>
    <w:rsid w:val="1B820D8F"/>
    <w:rsid w:val="1B86347C"/>
    <w:rsid w:val="1B937AD3"/>
    <w:rsid w:val="1B983EB1"/>
    <w:rsid w:val="1B9D1E24"/>
    <w:rsid w:val="1BB758F1"/>
    <w:rsid w:val="1BBB6DD5"/>
    <w:rsid w:val="1BC224EA"/>
    <w:rsid w:val="1BC429D5"/>
    <w:rsid w:val="1BC71BE4"/>
    <w:rsid w:val="1BC92B9B"/>
    <w:rsid w:val="1BD56FF9"/>
    <w:rsid w:val="1BDC5B0C"/>
    <w:rsid w:val="1BF17761"/>
    <w:rsid w:val="1BF41D77"/>
    <w:rsid w:val="1BFB5B4A"/>
    <w:rsid w:val="1C0C1619"/>
    <w:rsid w:val="1C0C4481"/>
    <w:rsid w:val="1C2E1C10"/>
    <w:rsid w:val="1C307888"/>
    <w:rsid w:val="1C6A3DDF"/>
    <w:rsid w:val="1C766D78"/>
    <w:rsid w:val="1C796EBD"/>
    <w:rsid w:val="1C7B23AD"/>
    <w:rsid w:val="1C861E33"/>
    <w:rsid w:val="1C9A08FE"/>
    <w:rsid w:val="1C9A3A4F"/>
    <w:rsid w:val="1CAE253D"/>
    <w:rsid w:val="1CCA06CC"/>
    <w:rsid w:val="1CCE5C09"/>
    <w:rsid w:val="1CCF27DE"/>
    <w:rsid w:val="1CD76D6F"/>
    <w:rsid w:val="1CDB6B83"/>
    <w:rsid w:val="1D124457"/>
    <w:rsid w:val="1D1C0A84"/>
    <w:rsid w:val="1D2938F0"/>
    <w:rsid w:val="1D2B241C"/>
    <w:rsid w:val="1D5C0A2E"/>
    <w:rsid w:val="1D607A7B"/>
    <w:rsid w:val="1D864BBF"/>
    <w:rsid w:val="1D8804D3"/>
    <w:rsid w:val="1D940B8A"/>
    <w:rsid w:val="1DA66C64"/>
    <w:rsid w:val="1DC443A6"/>
    <w:rsid w:val="1DC46D31"/>
    <w:rsid w:val="1DC63DE5"/>
    <w:rsid w:val="1DD07176"/>
    <w:rsid w:val="1DDA4B22"/>
    <w:rsid w:val="1E015B9A"/>
    <w:rsid w:val="1E040FD5"/>
    <w:rsid w:val="1E144339"/>
    <w:rsid w:val="1E155C5E"/>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E17E08"/>
    <w:rsid w:val="1EFA6058"/>
    <w:rsid w:val="1F0E2E15"/>
    <w:rsid w:val="1F216E7A"/>
    <w:rsid w:val="1F4826C4"/>
    <w:rsid w:val="1F4A7DD1"/>
    <w:rsid w:val="1F514981"/>
    <w:rsid w:val="1F7270C0"/>
    <w:rsid w:val="1F770E25"/>
    <w:rsid w:val="1F7C7E31"/>
    <w:rsid w:val="1F9745BB"/>
    <w:rsid w:val="1F9A64AF"/>
    <w:rsid w:val="1FA923FD"/>
    <w:rsid w:val="1FAF5F90"/>
    <w:rsid w:val="1FB7570C"/>
    <w:rsid w:val="1FB85D49"/>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62A7"/>
    <w:rsid w:val="207B06AC"/>
    <w:rsid w:val="207B0CE3"/>
    <w:rsid w:val="208727D4"/>
    <w:rsid w:val="20975BE7"/>
    <w:rsid w:val="20983950"/>
    <w:rsid w:val="209F66BB"/>
    <w:rsid w:val="20A000A7"/>
    <w:rsid w:val="20D81036"/>
    <w:rsid w:val="20DA16FF"/>
    <w:rsid w:val="20EA2B49"/>
    <w:rsid w:val="210D0899"/>
    <w:rsid w:val="211522A8"/>
    <w:rsid w:val="211D06AD"/>
    <w:rsid w:val="2125346E"/>
    <w:rsid w:val="213A359A"/>
    <w:rsid w:val="215A31E3"/>
    <w:rsid w:val="21622787"/>
    <w:rsid w:val="21632C02"/>
    <w:rsid w:val="21701A0C"/>
    <w:rsid w:val="217A2E93"/>
    <w:rsid w:val="21814046"/>
    <w:rsid w:val="218D52C4"/>
    <w:rsid w:val="21912F3E"/>
    <w:rsid w:val="21983049"/>
    <w:rsid w:val="21A200A0"/>
    <w:rsid w:val="21C515A0"/>
    <w:rsid w:val="21E52B21"/>
    <w:rsid w:val="21E7241D"/>
    <w:rsid w:val="21F44630"/>
    <w:rsid w:val="220D7E12"/>
    <w:rsid w:val="221762C8"/>
    <w:rsid w:val="221E27A3"/>
    <w:rsid w:val="222420D9"/>
    <w:rsid w:val="223C26FE"/>
    <w:rsid w:val="223C325A"/>
    <w:rsid w:val="223D389E"/>
    <w:rsid w:val="22465EDA"/>
    <w:rsid w:val="22555564"/>
    <w:rsid w:val="225A3BBE"/>
    <w:rsid w:val="22611DE6"/>
    <w:rsid w:val="22682309"/>
    <w:rsid w:val="226E194A"/>
    <w:rsid w:val="22790D74"/>
    <w:rsid w:val="22847919"/>
    <w:rsid w:val="229A03D3"/>
    <w:rsid w:val="22A250AF"/>
    <w:rsid w:val="22A279F1"/>
    <w:rsid w:val="22A32FE6"/>
    <w:rsid w:val="22A85AA9"/>
    <w:rsid w:val="22BF3704"/>
    <w:rsid w:val="22CF70F0"/>
    <w:rsid w:val="22D81E68"/>
    <w:rsid w:val="22D8408A"/>
    <w:rsid w:val="22EB1048"/>
    <w:rsid w:val="22EE29F5"/>
    <w:rsid w:val="23121D9E"/>
    <w:rsid w:val="231651E6"/>
    <w:rsid w:val="23194E5C"/>
    <w:rsid w:val="231A5BB1"/>
    <w:rsid w:val="231D625D"/>
    <w:rsid w:val="231E2114"/>
    <w:rsid w:val="23616401"/>
    <w:rsid w:val="23703612"/>
    <w:rsid w:val="237427A6"/>
    <w:rsid w:val="23785E57"/>
    <w:rsid w:val="238D3DDC"/>
    <w:rsid w:val="23AB5319"/>
    <w:rsid w:val="23B26A05"/>
    <w:rsid w:val="23BC6A75"/>
    <w:rsid w:val="23C54CD9"/>
    <w:rsid w:val="23D34EAE"/>
    <w:rsid w:val="23D81BCE"/>
    <w:rsid w:val="23DB6567"/>
    <w:rsid w:val="23DD2B4B"/>
    <w:rsid w:val="23DE6E3E"/>
    <w:rsid w:val="23E309EE"/>
    <w:rsid w:val="23ED3032"/>
    <w:rsid w:val="23F058EB"/>
    <w:rsid w:val="23F94B5C"/>
    <w:rsid w:val="240127A7"/>
    <w:rsid w:val="240F0813"/>
    <w:rsid w:val="24317F89"/>
    <w:rsid w:val="243772CD"/>
    <w:rsid w:val="244215AC"/>
    <w:rsid w:val="24493360"/>
    <w:rsid w:val="244D3F1E"/>
    <w:rsid w:val="24652776"/>
    <w:rsid w:val="246C48B1"/>
    <w:rsid w:val="24790513"/>
    <w:rsid w:val="24850C89"/>
    <w:rsid w:val="248933FF"/>
    <w:rsid w:val="248A5F25"/>
    <w:rsid w:val="249263DF"/>
    <w:rsid w:val="249345FB"/>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0A13DA"/>
    <w:rsid w:val="25211F30"/>
    <w:rsid w:val="252A2696"/>
    <w:rsid w:val="25401770"/>
    <w:rsid w:val="25431278"/>
    <w:rsid w:val="254650E8"/>
    <w:rsid w:val="255C60A4"/>
    <w:rsid w:val="256D4366"/>
    <w:rsid w:val="25771BA9"/>
    <w:rsid w:val="25820EAB"/>
    <w:rsid w:val="25A627CB"/>
    <w:rsid w:val="25B30328"/>
    <w:rsid w:val="25B719D0"/>
    <w:rsid w:val="25B9086E"/>
    <w:rsid w:val="25BC17EE"/>
    <w:rsid w:val="25C82C98"/>
    <w:rsid w:val="25D97DBB"/>
    <w:rsid w:val="25DF168A"/>
    <w:rsid w:val="25EB52CE"/>
    <w:rsid w:val="261A4AF7"/>
    <w:rsid w:val="261D3E6E"/>
    <w:rsid w:val="26256C57"/>
    <w:rsid w:val="263C47FD"/>
    <w:rsid w:val="26403FBE"/>
    <w:rsid w:val="2658129E"/>
    <w:rsid w:val="26596D7F"/>
    <w:rsid w:val="266028A4"/>
    <w:rsid w:val="267A2715"/>
    <w:rsid w:val="269B20BC"/>
    <w:rsid w:val="26AD7B68"/>
    <w:rsid w:val="26AF12B5"/>
    <w:rsid w:val="26C23ACA"/>
    <w:rsid w:val="26D366C8"/>
    <w:rsid w:val="26D8232C"/>
    <w:rsid w:val="26DC63BE"/>
    <w:rsid w:val="26E0559B"/>
    <w:rsid w:val="26EE72D4"/>
    <w:rsid w:val="26FF590A"/>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873B1"/>
    <w:rsid w:val="276C53BD"/>
    <w:rsid w:val="27765DB5"/>
    <w:rsid w:val="278B4507"/>
    <w:rsid w:val="279A2B69"/>
    <w:rsid w:val="27AB0F50"/>
    <w:rsid w:val="27B11AEB"/>
    <w:rsid w:val="27B7389D"/>
    <w:rsid w:val="27C54525"/>
    <w:rsid w:val="27DE1FCD"/>
    <w:rsid w:val="27DF4AB2"/>
    <w:rsid w:val="27E5287B"/>
    <w:rsid w:val="27F04E42"/>
    <w:rsid w:val="27F16E6A"/>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73FD3"/>
    <w:rsid w:val="28A12CFD"/>
    <w:rsid w:val="28A74A2A"/>
    <w:rsid w:val="28AD4425"/>
    <w:rsid w:val="28AF2CF8"/>
    <w:rsid w:val="28BB0E63"/>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E0C56"/>
    <w:rsid w:val="29902B12"/>
    <w:rsid w:val="299048ED"/>
    <w:rsid w:val="299C47DC"/>
    <w:rsid w:val="29AA7D40"/>
    <w:rsid w:val="29C70BC1"/>
    <w:rsid w:val="29CE57D1"/>
    <w:rsid w:val="29DA623E"/>
    <w:rsid w:val="29EA5C9E"/>
    <w:rsid w:val="29F0704A"/>
    <w:rsid w:val="29FF405E"/>
    <w:rsid w:val="2A120937"/>
    <w:rsid w:val="2A1439CC"/>
    <w:rsid w:val="2A166A82"/>
    <w:rsid w:val="2A202618"/>
    <w:rsid w:val="2A221B62"/>
    <w:rsid w:val="2A623BBF"/>
    <w:rsid w:val="2A663DB5"/>
    <w:rsid w:val="2A686E7A"/>
    <w:rsid w:val="2A6C2263"/>
    <w:rsid w:val="2A700A04"/>
    <w:rsid w:val="2A7E07CE"/>
    <w:rsid w:val="2A82780D"/>
    <w:rsid w:val="2A845420"/>
    <w:rsid w:val="2A8B62C3"/>
    <w:rsid w:val="2A8E3AB0"/>
    <w:rsid w:val="2A914C65"/>
    <w:rsid w:val="2AA22BB5"/>
    <w:rsid w:val="2AB27A9D"/>
    <w:rsid w:val="2AB8365B"/>
    <w:rsid w:val="2AC070A5"/>
    <w:rsid w:val="2AC61D0E"/>
    <w:rsid w:val="2ACD5C80"/>
    <w:rsid w:val="2AF61DA9"/>
    <w:rsid w:val="2AF83412"/>
    <w:rsid w:val="2AFA4EA3"/>
    <w:rsid w:val="2AFC3BC1"/>
    <w:rsid w:val="2B04677E"/>
    <w:rsid w:val="2B186741"/>
    <w:rsid w:val="2B1B1269"/>
    <w:rsid w:val="2B3F3EAB"/>
    <w:rsid w:val="2B412984"/>
    <w:rsid w:val="2B4F35EA"/>
    <w:rsid w:val="2B5001B8"/>
    <w:rsid w:val="2B542580"/>
    <w:rsid w:val="2B572C59"/>
    <w:rsid w:val="2B5B52F6"/>
    <w:rsid w:val="2B5D7457"/>
    <w:rsid w:val="2B5F7D43"/>
    <w:rsid w:val="2B6643DD"/>
    <w:rsid w:val="2B692E04"/>
    <w:rsid w:val="2B6F0EA1"/>
    <w:rsid w:val="2B78468A"/>
    <w:rsid w:val="2B957E8E"/>
    <w:rsid w:val="2B9D1863"/>
    <w:rsid w:val="2BA04BE9"/>
    <w:rsid w:val="2BAC02DA"/>
    <w:rsid w:val="2BAC418C"/>
    <w:rsid w:val="2BB77EF9"/>
    <w:rsid w:val="2BB82E64"/>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18E6"/>
    <w:rsid w:val="2C6E2647"/>
    <w:rsid w:val="2C765C02"/>
    <w:rsid w:val="2C792749"/>
    <w:rsid w:val="2C803CCE"/>
    <w:rsid w:val="2C94386D"/>
    <w:rsid w:val="2C9705D9"/>
    <w:rsid w:val="2CA44458"/>
    <w:rsid w:val="2CA850CE"/>
    <w:rsid w:val="2CAF2729"/>
    <w:rsid w:val="2CBD2941"/>
    <w:rsid w:val="2CD0784D"/>
    <w:rsid w:val="2CE060EC"/>
    <w:rsid w:val="2CE7415A"/>
    <w:rsid w:val="2CE8024A"/>
    <w:rsid w:val="2CEB45CE"/>
    <w:rsid w:val="2CEC6A7E"/>
    <w:rsid w:val="2CF83FE4"/>
    <w:rsid w:val="2CFA1250"/>
    <w:rsid w:val="2CFF5CF8"/>
    <w:rsid w:val="2D0B7C95"/>
    <w:rsid w:val="2D457FDA"/>
    <w:rsid w:val="2D4A4B65"/>
    <w:rsid w:val="2D53411B"/>
    <w:rsid w:val="2D662E7F"/>
    <w:rsid w:val="2D6A6414"/>
    <w:rsid w:val="2D6D463C"/>
    <w:rsid w:val="2D6E6B24"/>
    <w:rsid w:val="2D7C3D95"/>
    <w:rsid w:val="2D805C47"/>
    <w:rsid w:val="2D9448A9"/>
    <w:rsid w:val="2DC72915"/>
    <w:rsid w:val="2DCE014A"/>
    <w:rsid w:val="2DD200D4"/>
    <w:rsid w:val="2DDE7E0C"/>
    <w:rsid w:val="2DEC1C97"/>
    <w:rsid w:val="2DEE295A"/>
    <w:rsid w:val="2E1630E6"/>
    <w:rsid w:val="2E227C9C"/>
    <w:rsid w:val="2E2D3E6A"/>
    <w:rsid w:val="2E471576"/>
    <w:rsid w:val="2E5128ED"/>
    <w:rsid w:val="2E546601"/>
    <w:rsid w:val="2E650CFE"/>
    <w:rsid w:val="2E6C5C42"/>
    <w:rsid w:val="2E6E15BC"/>
    <w:rsid w:val="2E6F3D5B"/>
    <w:rsid w:val="2E713E0C"/>
    <w:rsid w:val="2E73191D"/>
    <w:rsid w:val="2E783C2B"/>
    <w:rsid w:val="2E7B5266"/>
    <w:rsid w:val="2E7C11F4"/>
    <w:rsid w:val="2E7C6B88"/>
    <w:rsid w:val="2E812938"/>
    <w:rsid w:val="2E9C1CDA"/>
    <w:rsid w:val="2EA44C1A"/>
    <w:rsid w:val="2EAC56AC"/>
    <w:rsid w:val="2EBA5AA4"/>
    <w:rsid w:val="2EC96882"/>
    <w:rsid w:val="2ED03E18"/>
    <w:rsid w:val="2ED22DA6"/>
    <w:rsid w:val="2ED3671E"/>
    <w:rsid w:val="2EDF5513"/>
    <w:rsid w:val="2EE23024"/>
    <w:rsid w:val="2EE81F0E"/>
    <w:rsid w:val="2EED7BD7"/>
    <w:rsid w:val="2EF93553"/>
    <w:rsid w:val="2EFB311C"/>
    <w:rsid w:val="2F075B0D"/>
    <w:rsid w:val="2F0807B9"/>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C55485"/>
    <w:rsid w:val="2FC669EB"/>
    <w:rsid w:val="2FCD6547"/>
    <w:rsid w:val="2FDA23CB"/>
    <w:rsid w:val="2FF624E8"/>
    <w:rsid w:val="2FF83AFB"/>
    <w:rsid w:val="30144138"/>
    <w:rsid w:val="302E591E"/>
    <w:rsid w:val="302E7443"/>
    <w:rsid w:val="304D25CD"/>
    <w:rsid w:val="305E53F3"/>
    <w:rsid w:val="306047D6"/>
    <w:rsid w:val="306F4639"/>
    <w:rsid w:val="3078675E"/>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1012E88"/>
    <w:rsid w:val="31057458"/>
    <w:rsid w:val="311D5F49"/>
    <w:rsid w:val="311E66F3"/>
    <w:rsid w:val="314E022A"/>
    <w:rsid w:val="3177302E"/>
    <w:rsid w:val="3189761B"/>
    <w:rsid w:val="318F3B7B"/>
    <w:rsid w:val="31A24409"/>
    <w:rsid w:val="31BC54B7"/>
    <w:rsid w:val="31C62BC6"/>
    <w:rsid w:val="31CC6ECF"/>
    <w:rsid w:val="31DC5A4A"/>
    <w:rsid w:val="31F13946"/>
    <w:rsid w:val="31F7323C"/>
    <w:rsid w:val="320446AE"/>
    <w:rsid w:val="320C19E7"/>
    <w:rsid w:val="320E11A5"/>
    <w:rsid w:val="320E3A4E"/>
    <w:rsid w:val="32170630"/>
    <w:rsid w:val="32202444"/>
    <w:rsid w:val="32292034"/>
    <w:rsid w:val="32324C38"/>
    <w:rsid w:val="323372A0"/>
    <w:rsid w:val="323904D8"/>
    <w:rsid w:val="32461E54"/>
    <w:rsid w:val="324E0D89"/>
    <w:rsid w:val="325459C6"/>
    <w:rsid w:val="32611217"/>
    <w:rsid w:val="327119FE"/>
    <w:rsid w:val="327B6673"/>
    <w:rsid w:val="327C048C"/>
    <w:rsid w:val="328A2BC2"/>
    <w:rsid w:val="32902971"/>
    <w:rsid w:val="329A386B"/>
    <w:rsid w:val="329E7F1B"/>
    <w:rsid w:val="32A730B7"/>
    <w:rsid w:val="32BA2BAC"/>
    <w:rsid w:val="32BC4B11"/>
    <w:rsid w:val="32CB5A52"/>
    <w:rsid w:val="32CC0D68"/>
    <w:rsid w:val="32E27E39"/>
    <w:rsid w:val="32ED59CE"/>
    <w:rsid w:val="32F1007A"/>
    <w:rsid w:val="32FA11B4"/>
    <w:rsid w:val="33055C59"/>
    <w:rsid w:val="33106C27"/>
    <w:rsid w:val="331362C5"/>
    <w:rsid w:val="331859BC"/>
    <w:rsid w:val="331B560D"/>
    <w:rsid w:val="331C73FA"/>
    <w:rsid w:val="331E4300"/>
    <w:rsid w:val="3321111D"/>
    <w:rsid w:val="33287AD8"/>
    <w:rsid w:val="33290556"/>
    <w:rsid w:val="333C7C12"/>
    <w:rsid w:val="333E57B8"/>
    <w:rsid w:val="3344276F"/>
    <w:rsid w:val="3352721E"/>
    <w:rsid w:val="33887263"/>
    <w:rsid w:val="339201FD"/>
    <w:rsid w:val="33994717"/>
    <w:rsid w:val="339A5066"/>
    <w:rsid w:val="339B095C"/>
    <w:rsid w:val="339F0BBC"/>
    <w:rsid w:val="33B43531"/>
    <w:rsid w:val="33B53521"/>
    <w:rsid w:val="33B76124"/>
    <w:rsid w:val="33C03EC4"/>
    <w:rsid w:val="33E62FEA"/>
    <w:rsid w:val="33F61E89"/>
    <w:rsid w:val="340F1D7A"/>
    <w:rsid w:val="341B7A95"/>
    <w:rsid w:val="341D652C"/>
    <w:rsid w:val="34295CE7"/>
    <w:rsid w:val="344068C3"/>
    <w:rsid w:val="34421DCC"/>
    <w:rsid w:val="344B4760"/>
    <w:rsid w:val="34517E48"/>
    <w:rsid w:val="345D00F2"/>
    <w:rsid w:val="345E1E96"/>
    <w:rsid w:val="347D2111"/>
    <w:rsid w:val="34812F95"/>
    <w:rsid w:val="34832CFF"/>
    <w:rsid w:val="34876C47"/>
    <w:rsid w:val="34903504"/>
    <w:rsid w:val="34913C8E"/>
    <w:rsid w:val="34932D6A"/>
    <w:rsid w:val="349E2D3D"/>
    <w:rsid w:val="34A23B5D"/>
    <w:rsid w:val="34A53D8B"/>
    <w:rsid w:val="34AC7420"/>
    <w:rsid w:val="34B25B25"/>
    <w:rsid w:val="34B26C37"/>
    <w:rsid w:val="34B82EC0"/>
    <w:rsid w:val="34CA3400"/>
    <w:rsid w:val="34CC3EA6"/>
    <w:rsid w:val="34EF7BEC"/>
    <w:rsid w:val="34F32514"/>
    <w:rsid w:val="34F63FF0"/>
    <w:rsid w:val="34F9274A"/>
    <w:rsid w:val="3506638E"/>
    <w:rsid w:val="350B6A30"/>
    <w:rsid w:val="351A4939"/>
    <w:rsid w:val="353D11CA"/>
    <w:rsid w:val="356463BF"/>
    <w:rsid w:val="35683369"/>
    <w:rsid w:val="35696574"/>
    <w:rsid w:val="356A7268"/>
    <w:rsid w:val="357A3052"/>
    <w:rsid w:val="358772A0"/>
    <w:rsid w:val="35937710"/>
    <w:rsid w:val="3595550F"/>
    <w:rsid w:val="359E4F63"/>
    <w:rsid w:val="35B835C3"/>
    <w:rsid w:val="35E01C31"/>
    <w:rsid w:val="35EC5849"/>
    <w:rsid w:val="35F01DB8"/>
    <w:rsid w:val="361E3FF0"/>
    <w:rsid w:val="36217702"/>
    <w:rsid w:val="3636193C"/>
    <w:rsid w:val="363C5A28"/>
    <w:rsid w:val="363F55FC"/>
    <w:rsid w:val="36696C75"/>
    <w:rsid w:val="366B481D"/>
    <w:rsid w:val="36845E05"/>
    <w:rsid w:val="368752CE"/>
    <w:rsid w:val="368C480C"/>
    <w:rsid w:val="36AC3623"/>
    <w:rsid w:val="36B127DC"/>
    <w:rsid w:val="36B30FFD"/>
    <w:rsid w:val="36CD31CD"/>
    <w:rsid w:val="36D35DC0"/>
    <w:rsid w:val="36E436F1"/>
    <w:rsid w:val="36E90624"/>
    <w:rsid w:val="36ED5C7E"/>
    <w:rsid w:val="37121A93"/>
    <w:rsid w:val="373123A9"/>
    <w:rsid w:val="37390DD4"/>
    <w:rsid w:val="3742210F"/>
    <w:rsid w:val="3748238D"/>
    <w:rsid w:val="374E480D"/>
    <w:rsid w:val="37621FAA"/>
    <w:rsid w:val="3771132E"/>
    <w:rsid w:val="3771557B"/>
    <w:rsid w:val="37720482"/>
    <w:rsid w:val="37823C2B"/>
    <w:rsid w:val="3788333C"/>
    <w:rsid w:val="37901B0C"/>
    <w:rsid w:val="37990819"/>
    <w:rsid w:val="379F17A7"/>
    <w:rsid w:val="37A21F04"/>
    <w:rsid w:val="37AE2E06"/>
    <w:rsid w:val="37C179DE"/>
    <w:rsid w:val="37C81CD1"/>
    <w:rsid w:val="37CD5373"/>
    <w:rsid w:val="37CE4670"/>
    <w:rsid w:val="37E0267F"/>
    <w:rsid w:val="37EB0051"/>
    <w:rsid w:val="37F313BC"/>
    <w:rsid w:val="37F46777"/>
    <w:rsid w:val="37F9458D"/>
    <w:rsid w:val="3807139D"/>
    <w:rsid w:val="380D2E6E"/>
    <w:rsid w:val="38113F8B"/>
    <w:rsid w:val="38164526"/>
    <w:rsid w:val="381704CA"/>
    <w:rsid w:val="381A2F77"/>
    <w:rsid w:val="383E0974"/>
    <w:rsid w:val="383E5B33"/>
    <w:rsid w:val="38423999"/>
    <w:rsid w:val="38695C8C"/>
    <w:rsid w:val="386E23FF"/>
    <w:rsid w:val="387105C5"/>
    <w:rsid w:val="387C643E"/>
    <w:rsid w:val="387D3A3B"/>
    <w:rsid w:val="38854007"/>
    <w:rsid w:val="38857EF5"/>
    <w:rsid w:val="388A0A26"/>
    <w:rsid w:val="388F29D8"/>
    <w:rsid w:val="38A45EBF"/>
    <w:rsid w:val="38B04A0F"/>
    <w:rsid w:val="38B61D48"/>
    <w:rsid w:val="38D33ADA"/>
    <w:rsid w:val="38DA05F5"/>
    <w:rsid w:val="38EB3A14"/>
    <w:rsid w:val="38F37371"/>
    <w:rsid w:val="38FD6DFC"/>
    <w:rsid w:val="38FE04A2"/>
    <w:rsid w:val="390554B8"/>
    <w:rsid w:val="3928712E"/>
    <w:rsid w:val="393170E3"/>
    <w:rsid w:val="393259C3"/>
    <w:rsid w:val="39367332"/>
    <w:rsid w:val="3946319A"/>
    <w:rsid w:val="394840B9"/>
    <w:rsid w:val="394C59BA"/>
    <w:rsid w:val="394E2EAF"/>
    <w:rsid w:val="39601B01"/>
    <w:rsid w:val="396B6B39"/>
    <w:rsid w:val="397F7565"/>
    <w:rsid w:val="39897476"/>
    <w:rsid w:val="398D1519"/>
    <w:rsid w:val="39910DD9"/>
    <w:rsid w:val="39980F4F"/>
    <w:rsid w:val="399B565D"/>
    <w:rsid w:val="39A879F7"/>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85B18"/>
    <w:rsid w:val="3A6B67A7"/>
    <w:rsid w:val="3A923C8D"/>
    <w:rsid w:val="3A9411D6"/>
    <w:rsid w:val="3A9722A4"/>
    <w:rsid w:val="3A9A7289"/>
    <w:rsid w:val="3A9C6739"/>
    <w:rsid w:val="3AB0141B"/>
    <w:rsid w:val="3AB745B1"/>
    <w:rsid w:val="3AC3457A"/>
    <w:rsid w:val="3AC76AA0"/>
    <w:rsid w:val="3AC86EC1"/>
    <w:rsid w:val="3ACE6CDC"/>
    <w:rsid w:val="3AE630AD"/>
    <w:rsid w:val="3AE75B9E"/>
    <w:rsid w:val="3AF12752"/>
    <w:rsid w:val="3AF362C6"/>
    <w:rsid w:val="3B073DBC"/>
    <w:rsid w:val="3B0B0B90"/>
    <w:rsid w:val="3B0E23B7"/>
    <w:rsid w:val="3B1428E3"/>
    <w:rsid w:val="3B147532"/>
    <w:rsid w:val="3B236991"/>
    <w:rsid w:val="3B37719B"/>
    <w:rsid w:val="3B3B503F"/>
    <w:rsid w:val="3BA21F91"/>
    <w:rsid w:val="3BA51DBA"/>
    <w:rsid w:val="3BB25A20"/>
    <w:rsid w:val="3BBA3292"/>
    <w:rsid w:val="3BD10F09"/>
    <w:rsid w:val="3BD837CB"/>
    <w:rsid w:val="3BE0576E"/>
    <w:rsid w:val="3BE41894"/>
    <w:rsid w:val="3BF013A1"/>
    <w:rsid w:val="3BF024B8"/>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A60169"/>
    <w:rsid w:val="3CAB2703"/>
    <w:rsid w:val="3CB32F11"/>
    <w:rsid w:val="3CBF6B41"/>
    <w:rsid w:val="3CC0014F"/>
    <w:rsid w:val="3CC072C9"/>
    <w:rsid w:val="3CD27875"/>
    <w:rsid w:val="3CD34676"/>
    <w:rsid w:val="3CED2D92"/>
    <w:rsid w:val="3CF65C2D"/>
    <w:rsid w:val="3CFD6609"/>
    <w:rsid w:val="3D1A2719"/>
    <w:rsid w:val="3D1F2A7E"/>
    <w:rsid w:val="3D347975"/>
    <w:rsid w:val="3D3B1393"/>
    <w:rsid w:val="3D3B2202"/>
    <w:rsid w:val="3D413254"/>
    <w:rsid w:val="3D4A1EB4"/>
    <w:rsid w:val="3D4B1DF2"/>
    <w:rsid w:val="3D5B4DA1"/>
    <w:rsid w:val="3D6823E9"/>
    <w:rsid w:val="3D7269FD"/>
    <w:rsid w:val="3D7354C3"/>
    <w:rsid w:val="3D751454"/>
    <w:rsid w:val="3D8577D5"/>
    <w:rsid w:val="3D8D640B"/>
    <w:rsid w:val="3D9F09B8"/>
    <w:rsid w:val="3DA6666F"/>
    <w:rsid w:val="3DAC31CA"/>
    <w:rsid w:val="3DB47072"/>
    <w:rsid w:val="3DC3624E"/>
    <w:rsid w:val="3DC47354"/>
    <w:rsid w:val="3DC75B9D"/>
    <w:rsid w:val="3DE8538F"/>
    <w:rsid w:val="3DEA2042"/>
    <w:rsid w:val="3DFE641D"/>
    <w:rsid w:val="3E037CAB"/>
    <w:rsid w:val="3E054A6F"/>
    <w:rsid w:val="3E183E33"/>
    <w:rsid w:val="3E1D22F9"/>
    <w:rsid w:val="3E1D3574"/>
    <w:rsid w:val="3E2532D1"/>
    <w:rsid w:val="3E2E46EC"/>
    <w:rsid w:val="3E36511F"/>
    <w:rsid w:val="3E437E15"/>
    <w:rsid w:val="3E481F6D"/>
    <w:rsid w:val="3E5235A3"/>
    <w:rsid w:val="3E5A17A8"/>
    <w:rsid w:val="3E5C2650"/>
    <w:rsid w:val="3E5F7284"/>
    <w:rsid w:val="3E6C6448"/>
    <w:rsid w:val="3E7C2FA5"/>
    <w:rsid w:val="3E8553F3"/>
    <w:rsid w:val="3E952C1D"/>
    <w:rsid w:val="3EA73010"/>
    <w:rsid w:val="3EA9190D"/>
    <w:rsid w:val="3EAB17EA"/>
    <w:rsid w:val="3EB60527"/>
    <w:rsid w:val="3EBD5002"/>
    <w:rsid w:val="3EC00D5B"/>
    <w:rsid w:val="3ECC3F09"/>
    <w:rsid w:val="3EDD0655"/>
    <w:rsid w:val="3EF04837"/>
    <w:rsid w:val="3EF74C79"/>
    <w:rsid w:val="3F034DA3"/>
    <w:rsid w:val="3F0E34DB"/>
    <w:rsid w:val="3F146544"/>
    <w:rsid w:val="3F392CB3"/>
    <w:rsid w:val="3F4F7330"/>
    <w:rsid w:val="3F500451"/>
    <w:rsid w:val="3F51239E"/>
    <w:rsid w:val="3F622631"/>
    <w:rsid w:val="3F7629D7"/>
    <w:rsid w:val="3F7E2408"/>
    <w:rsid w:val="3F8128D7"/>
    <w:rsid w:val="3F8A1256"/>
    <w:rsid w:val="3F925BBB"/>
    <w:rsid w:val="3FA4666C"/>
    <w:rsid w:val="3FB15B16"/>
    <w:rsid w:val="3FCC121C"/>
    <w:rsid w:val="3FCE2468"/>
    <w:rsid w:val="3FD06AF1"/>
    <w:rsid w:val="3FD505D5"/>
    <w:rsid w:val="3FE12119"/>
    <w:rsid w:val="3FE40DE6"/>
    <w:rsid w:val="3FE50410"/>
    <w:rsid w:val="3FED78EE"/>
    <w:rsid w:val="3FF042AF"/>
    <w:rsid w:val="3FF55FB0"/>
    <w:rsid w:val="3FF70F44"/>
    <w:rsid w:val="40003F94"/>
    <w:rsid w:val="4009517A"/>
    <w:rsid w:val="40186C41"/>
    <w:rsid w:val="401D0867"/>
    <w:rsid w:val="401F5AB7"/>
    <w:rsid w:val="402117FE"/>
    <w:rsid w:val="40316BBB"/>
    <w:rsid w:val="40365111"/>
    <w:rsid w:val="4048643E"/>
    <w:rsid w:val="4057711D"/>
    <w:rsid w:val="40627D7E"/>
    <w:rsid w:val="407526F8"/>
    <w:rsid w:val="4082170E"/>
    <w:rsid w:val="40893A96"/>
    <w:rsid w:val="40954D2F"/>
    <w:rsid w:val="409A7FAD"/>
    <w:rsid w:val="40A802A5"/>
    <w:rsid w:val="40B8018E"/>
    <w:rsid w:val="40BF62D2"/>
    <w:rsid w:val="40C23930"/>
    <w:rsid w:val="40C35572"/>
    <w:rsid w:val="40F64BED"/>
    <w:rsid w:val="40F83DE9"/>
    <w:rsid w:val="40FD29FD"/>
    <w:rsid w:val="4102026F"/>
    <w:rsid w:val="410C0E70"/>
    <w:rsid w:val="410F0B1D"/>
    <w:rsid w:val="4126179B"/>
    <w:rsid w:val="41281EBB"/>
    <w:rsid w:val="41282C79"/>
    <w:rsid w:val="41494DCC"/>
    <w:rsid w:val="414C36CC"/>
    <w:rsid w:val="415046B8"/>
    <w:rsid w:val="415E5EE5"/>
    <w:rsid w:val="41673CDD"/>
    <w:rsid w:val="416D205C"/>
    <w:rsid w:val="41747C07"/>
    <w:rsid w:val="417C3CF6"/>
    <w:rsid w:val="418C541A"/>
    <w:rsid w:val="418F567B"/>
    <w:rsid w:val="41974CEA"/>
    <w:rsid w:val="419A7D0F"/>
    <w:rsid w:val="41A00B28"/>
    <w:rsid w:val="41C93509"/>
    <w:rsid w:val="41D706F3"/>
    <w:rsid w:val="41DB51B9"/>
    <w:rsid w:val="41F31A85"/>
    <w:rsid w:val="420212BC"/>
    <w:rsid w:val="420D333D"/>
    <w:rsid w:val="4221224B"/>
    <w:rsid w:val="425D2326"/>
    <w:rsid w:val="42625EBA"/>
    <w:rsid w:val="426277A2"/>
    <w:rsid w:val="42657C0E"/>
    <w:rsid w:val="426D7559"/>
    <w:rsid w:val="42724AFD"/>
    <w:rsid w:val="427566F3"/>
    <w:rsid w:val="427F60FC"/>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331C61"/>
    <w:rsid w:val="43351883"/>
    <w:rsid w:val="4345461D"/>
    <w:rsid w:val="434B5C53"/>
    <w:rsid w:val="434C61D2"/>
    <w:rsid w:val="434D0002"/>
    <w:rsid w:val="435651E6"/>
    <w:rsid w:val="435839ED"/>
    <w:rsid w:val="43594CA1"/>
    <w:rsid w:val="436E5D62"/>
    <w:rsid w:val="437850BB"/>
    <w:rsid w:val="43860F6F"/>
    <w:rsid w:val="438F2592"/>
    <w:rsid w:val="43A36DB7"/>
    <w:rsid w:val="43AC7664"/>
    <w:rsid w:val="43AE7E21"/>
    <w:rsid w:val="43AF6E08"/>
    <w:rsid w:val="43BB3E48"/>
    <w:rsid w:val="43C03870"/>
    <w:rsid w:val="43C24FCB"/>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A5D12"/>
    <w:rsid w:val="44470A70"/>
    <w:rsid w:val="44510949"/>
    <w:rsid w:val="44584C1D"/>
    <w:rsid w:val="4469594C"/>
    <w:rsid w:val="446F23FA"/>
    <w:rsid w:val="4474126C"/>
    <w:rsid w:val="44800659"/>
    <w:rsid w:val="44842ADE"/>
    <w:rsid w:val="4485086F"/>
    <w:rsid w:val="4485722B"/>
    <w:rsid w:val="44884928"/>
    <w:rsid w:val="44947B13"/>
    <w:rsid w:val="44A80942"/>
    <w:rsid w:val="44B0680B"/>
    <w:rsid w:val="44BC5CD9"/>
    <w:rsid w:val="44D00BF1"/>
    <w:rsid w:val="44D71C21"/>
    <w:rsid w:val="44DE39D6"/>
    <w:rsid w:val="45040844"/>
    <w:rsid w:val="450520B8"/>
    <w:rsid w:val="451033B6"/>
    <w:rsid w:val="45117200"/>
    <w:rsid w:val="45286D66"/>
    <w:rsid w:val="452D69B0"/>
    <w:rsid w:val="453E7252"/>
    <w:rsid w:val="45544A9C"/>
    <w:rsid w:val="45607B08"/>
    <w:rsid w:val="456619BC"/>
    <w:rsid w:val="4572324A"/>
    <w:rsid w:val="457C4C8D"/>
    <w:rsid w:val="458F62E3"/>
    <w:rsid w:val="4591045C"/>
    <w:rsid w:val="459B4CDD"/>
    <w:rsid w:val="45A66F67"/>
    <w:rsid w:val="45A933EE"/>
    <w:rsid w:val="45B012C7"/>
    <w:rsid w:val="45C44657"/>
    <w:rsid w:val="45CD07F2"/>
    <w:rsid w:val="45D130F6"/>
    <w:rsid w:val="45DE1FB2"/>
    <w:rsid w:val="45E92486"/>
    <w:rsid w:val="45E92921"/>
    <w:rsid w:val="45E93DE7"/>
    <w:rsid w:val="45EA3D28"/>
    <w:rsid w:val="45F11576"/>
    <w:rsid w:val="45F15AA1"/>
    <w:rsid w:val="45F412B8"/>
    <w:rsid w:val="45F54E7D"/>
    <w:rsid w:val="4619039A"/>
    <w:rsid w:val="461D609B"/>
    <w:rsid w:val="461D740F"/>
    <w:rsid w:val="462667E8"/>
    <w:rsid w:val="46274DB3"/>
    <w:rsid w:val="4633779A"/>
    <w:rsid w:val="46585DDF"/>
    <w:rsid w:val="465902E4"/>
    <w:rsid w:val="466F0396"/>
    <w:rsid w:val="467818AC"/>
    <w:rsid w:val="468F6083"/>
    <w:rsid w:val="469760C3"/>
    <w:rsid w:val="46B218AA"/>
    <w:rsid w:val="46C24A09"/>
    <w:rsid w:val="46CA1BE2"/>
    <w:rsid w:val="46CC73B9"/>
    <w:rsid w:val="46CE518C"/>
    <w:rsid w:val="46D17C27"/>
    <w:rsid w:val="46DD01AA"/>
    <w:rsid w:val="46DE6B49"/>
    <w:rsid w:val="46F55EFF"/>
    <w:rsid w:val="46FA29C1"/>
    <w:rsid w:val="46FA5ABE"/>
    <w:rsid w:val="46FB4300"/>
    <w:rsid w:val="471646E3"/>
    <w:rsid w:val="471E45CC"/>
    <w:rsid w:val="4729606E"/>
    <w:rsid w:val="472A637B"/>
    <w:rsid w:val="473C01B2"/>
    <w:rsid w:val="473F4F56"/>
    <w:rsid w:val="47655822"/>
    <w:rsid w:val="47661742"/>
    <w:rsid w:val="477160AC"/>
    <w:rsid w:val="477B3FE0"/>
    <w:rsid w:val="47881D30"/>
    <w:rsid w:val="479A1C67"/>
    <w:rsid w:val="479B3525"/>
    <w:rsid w:val="47A5193F"/>
    <w:rsid w:val="47AB3E24"/>
    <w:rsid w:val="47B10F3F"/>
    <w:rsid w:val="47BD7A2E"/>
    <w:rsid w:val="47C82B2B"/>
    <w:rsid w:val="47C90DF2"/>
    <w:rsid w:val="47C947C0"/>
    <w:rsid w:val="47CF7E43"/>
    <w:rsid w:val="47DD555F"/>
    <w:rsid w:val="47E921DC"/>
    <w:rsid w:val="47EB5C5D"/>
    <w:rsid w:val="47EE2BAE"/>
    <w:rsid w:val="48016D47"/>
    <w:rsid w:val="480218E2"/>
    <w:rsid w:val="48043455"/>
    <w:rsid w:val="4804352E"/>
    <w:rsid w:val="48263D23"/>
    <w:rsid w:val="482C0A84"/>
    <w:rsid w:val="48306B53"/>
    <w:rsid w:val="483351F3"/>
    <w:rsid w:val="483A58FF"/>
    <w:rsid w:val="48432AC1"/>
    <w:rsid w:val="48577E8C"/>
    <w:rsid w:val="4864735C"/>
    <w:rsid w:val="48857808"/>
    <w:rsid w:val="488960CF"/>
    <w:rsid w:val="488E7A53"/>
    <w:rsid w:val="489C35ED"/>
    <w:rsid w:val="48A42B70"/>
    <w:rsid w:val="48A87146"/>
    <w:rsid w:val="48B57017"/>
    <w:rsid w:val="48C31BAF"/>
    <w:rsid w:val="48CB6617"/>
    <w:rsid w:val="48E97AA9"/>
    <w:rsid w:val="4906599D"/>
    <w:rsid w:val="4909761F"/>
    <w:rsid w:val="490D72C3"/>
    <w:rsid w:val="4919112B"/>
    <w:rsid w:val="492536D8"/>
    <w:rsid w:val="49267BB3"/>
    <w:rsid w:val="49272678"/>
    <w:rsid w:val="49305945"/>
    <w:rsid w:val="49305F2D"/>
    <w:rsid w:val="4932681B"/>
    <w:rsid w:val="49343D48"/>
    <w:rsid w:val="494B36B9"/>
    <w:rsid w:val="494D7F26"/>
    <w:rsid w:val="495A52FD"/>
    <w:rsid w:val="49643ABB"/>
    <w:rsid w:val="497C4F72"/>
    <w:rsid w:val="497E4472"/>
    <w:rsid w:val="4981075A"/>
    <w:rsid w:val="49837286"/>
    <w:rsid w:val="4991093E"/>
    <w:rsid w:val="49BD667D"/>
    <w:rsid w:val="49BF35C8"/>
    <w:rsid w:val="49C657F5"/>
    <w:rsid w:val="49D019A4"/>
    <w:rsid w:val="49D36377"/>
    <w:rsid w:val="49D57DA2"/>
    <w:rsid w:val="49DE1326"/>
    <w:rsid w:val="49E9049C"/>
    <w:rsid w:val="49F546A5"/>
    <w:rsid w:val="49FA050F"/>
    <w:rsid w:val="49FF33C1"/>
    <w:rsid w:val="4A067553"/>
    <w:rsid w:val="4A0E1E1F"/>
    <w:rsid w:val="4A146CF2"/>
    <w:rsid w:val="4A156658"/>
    <w:rsid w:val="4A2A62F7"/>
    <w:rsid w:val="4A3125CA"/>
    <w:rsid w:val="4A35302C"/>
    <w:rsid w:val="4A4A037A"/>
    <w:rsid w:val="4A4C33DF"/>
    <w:rsid w:val="4A546E82"/>
    <w:rsid w:val="4A56148B"/>
    <w:rsid w:val="4A647568"/>
    <w:rsid w:val="4A674D97"/>
    <w:rsid w:val="4A745266"/>
    <w:rsid w:val="4A786E9A"/>
    <w:rsid w:val="4A7874A1"/>
    <w:rsid w:val="4A903902"/>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1058F4"/>
    <w:rsid w:val="4B136F3E"/>
    <w:rsid w:val="4B146F9E"/>
    <w:rsid w:val="4B1741F3"/>
    <w:rsid w:val="4B1853EF"/>
    <w:rsid w:val="4B2161C8"/>
    <w:rsid w:val="4B3211D6"/>
    <w:rsid w:val="4B426F81"/>
    <w:rsid w:val="4B4A2207"/>
    <w:rsid w:val="4B51100E"/>
    <w:rsid w:val="4B5C599C"/>
    <w:rsid w:val="4B644638"/>
    <w:rsid w:val="4B75187F"/>
    <w:rsid w:val="4B843EB6"/>
    <w:rsid w:val="4B94775C"/>
    <w:rsid w:val="4BA71127"/>
    <w:rsid w:val="4BA735A0"/>
    <w:rsid w:val="4BAC0F36"/>
    <w:rsid w:val="4BBD73AB"/>
    <w:rsid w:val="4BBF631F"/>
    <w:rsid w:val="4BC530D7"/>
    <w:rsid w:val="4BC809F6"/>
    <w:rsid w:val="4BC9355B"/>
    <w:rsid w:val="4BCD40FF"/>
    <w:rsid w:val="4BCF6819"/>
    <w:rsid w:val="4BDC7C04"/>
    <w:rsid w:val="4BDE0D86"/>
    <w:rsid w:val="4BF85908"/>
    <w:rsid w:val="4C023148"/>
    <w:rsid w:val="4C0761BC"/>
    <w:rsid w:val="4C1B1650"/>
    <w:rsid w:val="4C402BF8"/>
    <w:rsid w:val="4C45377F"/>
    <w:rsid w:val="4C5A3CC0"/>
    <w:rsid w:val="4C6842AF"/>
    <w:rsid w:val="4C7C6574"/>
    <w:rsid w:val="4C8E2A4A"/>
    <w:rsid w:val="4C96700C"/>
    <w:rsid w:val="4C9A12CF"/>
    <w:rsid w:val="4C9C2FFF"/>
    <w:rsid w:val="4CA86B35"/>
    <w:rsid w:val="4CC66EB6"/>
    <w:rsid w:val="4CC86A1E"/>
    <w:rsid w:val="4CD32EBD"/>
    <w:rsid w:val="4CD439EA"/>
    <w:rsid w:val="4CE21D79"/>
    <w:rsid w:val="4CE23A58"/>
    <w:rsid w:val="4CE7214E"/>
    <w:rsid w:val="4CEC37E5"/>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9053FB"/>
    <w:rsid w:val="4D9E6146"/>
    <w:rsid w:val="4DA07792"/>
    <w:rsid w:val="4DA32364"/>
    <w:rsid w:val="4DAB6D86"/>
    <w:rsid w:val="4DBA3534"/>
    <w:rsid w:val="4DBB61A5"/>
    <w:rsid w:val="4DDA2AD4"/>
    <w:rsid w:val="4DDF6028"/>
    <w:rsid w:val="4DE97EA9"/>
    <w:rsid w:val="4DED3BF9"/>
    <w:rsid w:val="4DF15F2E"/>
    <w:rsid w:val="4DF226E7"/>
    <w:rsid w:val="4DF76B65"/>
    <w:rsid w:val="4DFC1179"/>
    <w:rsid w:val="4E0410BA"/>
    <w:rsid w:val="4E1A4C74"/>
    <w:rsid w:val="4E1C7E1D"/>
    <w:rsid w:val="4E262ADC"/>
    <w:rsid w:val="4E2B4B3F"/>
    <w:rsid w:val="4E3D6033"/>
    <w:rsid w:val="4E3F3B0B"/>
    <w:rsid w:val="4E4B41CB"/>
    <w:rsid w:val="4E6027B9"/>
    <w:rsid w:val="4E736E52"/>
    <w:rsid w:val="4E8A3203"/>
    <w:rsid w:val="4E8A67AE"/>
    <w:rsid w:val="4E9F27CF"/>
    <w:rsid w:val="4EA35531"/>
    <w:rsid w:val="4EB4789C"/>
    <w:rsid w:val="4EC64B4A"/>
    <w:rsid w:val="4ECA3148"/>
    <w:rsid w:val="4ED31A1F"/>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5004480C"/>
    <w:rsid w:val="50072913"/>
    <w:rsid w:val="500F2033"/>
    <w:rsid w:val="500F5C7B"/>
    <w:rsid w:val="50155CE5"/>
    <w:rsid w:val="503B720F"/>
    <w:rsid w:val="503D7F90"/>
    <w:rsid w:val="50463901"/>
    <w:rsid w:val="504E76EE"/>
    <w:rsid w:val="50581B1A"/>
    <w:rsid w:val="505905CC"/>
    <w:rsid w:val="505A3181"/>
    <w:rsid w:val="506736FE"/>
    <w:rsid w:val="50707FA6"/>
    <w:rsid w:val="507D64CC"/>
    <w:rsid w:val="50905B9E"/>
    <w:rsid w:val="50982F9C"/>
    <w:rsid w:val="509D4C25"/>
    <w:rsid w:val="50B10DFC"/>
    <w:rsid w:val="50B65F54"/>
    <w:rsid w:val="50B74942"/>
    <w:rsid w:val="50CA42B3"/>
    <w:rsid w:val="50CD72E9"/>
    <w:rsid w:val="50DF0BDA"/>
    <w:rsid w:val="50EB26D7"/>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FF2EFB"/>
    <w:rsid w:val="520769FB"/>
    <w:rsid w:val="52086D27"/>
    <w:rsid w:val="520D6498"/>
    <w:rsid w:val="52183FB0"/>
    <w:rsid w:val="522849DC"/>
    <w:rsid w:val="522C7228"/>
    <w:rsid w:val="52316EF7"/>
    <w:rsid w:val="52355C1F"/>
    <w:rsid w:val="52366AD6"/>
    <w:rsid w:val="525635A3"/>
    <w:rsid w:val="52585EB6"/>
    <w:rsid w:val="525B0C4F"/>
    <w:rsid w:val="526D658C"/>
    <w:rsid w:val="526E3D00"/>
    <w:rsid w:val="528F69EE"/>
    <w:rsid w:val="52967A85"/>
    <w:rsid w:val="52984E97"/>
    <w:rsid w:val="529F4079"/>
    <w:rsid w:val="52A74675"/>
    <w:rsid w:val="52C137BE"/>
    <w:rsid w:val="52C54442"/>
    <w:rsid w:val="52C5446B"/>
    <w:rsid w:val="52CC30D4"/>
    <w:rsid w:val="52D25F61"/>
    <w:rsid w:val="52D75EDA"/>
    <w:rsid w:val="52E11B06"/>
    <w:rsid w:val="52FB55C0"/>
    <w:rsid w:val="53197BC4"/>
    <w:rsid w:val="531D1433"/>
    <w:rsid w:val="531F46EF"/>
    <w:rsid w:val="53266213"/>
    <w:rsid w:val="532A4B9E"/>
    <w:rsid w:val="532F500E"/>
    <w:rsid w:val="533018CB"/>
    <w:rsid w:val="533D7B07"/>
    <w:rsid w:val="53416C7C"/>
    <w:rsid w:val="53480519"/>
    <w:rsid w:val="535325D0"/>
    <w:rsid w:val="53692E6A"/>
    <w:rsid w:val="536E585A"/>
    <w:rsid w:val="53717B05"/>
    <w:rsid w:val="53764032"/>
    <w:rsid w:val="538A15E9"/>
    <w:rsid w:val="538D4C52"/>
    <w:rsid w:val="538E1DB7"/>
    <w:rsid w:val="53944D70"/>
    <w:rsid w:val="53A32F30"/>
    <w:rsid w:val="53A53A22"/>
    <w:rsid w:val="53A66651"/>
    <w:rsid w:val="53A81780"/>
    <w:rsid w:val="53AB1560"/>
    <w:rsid w:val="53AB46F3"/>
    <w:rsid w:val="53B65A8C"/>
    <w:rsid w:val="53D30168"/>
    <w:rsid w:val="53D85485"/>
    <w:rsid w:val="53DB6B87"/>
    <w:rsid w:val="53EB07F8"/>
    <w:rsid w:val="53FC57C7"/>
    <w:rsid w:val="53FC73EE"/>
    <w:rsid w:val="540025C3"/>
    <w:rsid w:val="540043CE"/>
    <w:rsid w:val="54013B8D"/>
    <w:rsid w:val="540A5F69"/>
    <w:rsid w:val="540D6A1D"/>
    <w:rsid w:val="54186A87"/>
    <w:rsid w:val="54246A07"/>
    <w:rsid w:val="544850E3"/>
    <w:rsid w:val="544902D2"/>
    <w:rsid w:val="544918B9"/>
    <w:rsid w:val="546014B2"/>
    <w:rsid w:val="54694816"/>
    <w:rsid w:val="5478091E"/>
    <w:rsid w:val="547C2195"/>
    <w:rsid w:val="54945458"/>
    <w:rsid w:val="54A7707B"/>
    <w:rsid w:val="54A80276"/>
    <w:rsid w:val="54BF68F5"/>
    <w:rsid w:val="54CD1FD1"/>
    <w:rsid w:val="54CE2E42"/>
    <w:rsid w:val="54D13E95"/>
    <w:rsid w:val="54D75614"/>
    <w:rsid w:val="54E2234E"/>
    <w:rsid w:val="54E84D70"/>
    <w:rsid w:val="54F6547D"/>
    <w:rsid w:val="550E793F"/>
    <w:rsid w:val="551032BC"/>
    <w:rsid w:val="55126187"/>
    <w:rsid w:val="55130E46"/>
    <w:rsid w:val="55137156"/>
    <w:rsid w:val="551C090A"/>
    <w:rsid w:val="551E67FB"/>
    <w:rsid w:val="553549B4"/>
    <w:rsid w:val="55417B1D"/>
    <w:rsid w:val="55424084"/>
    <w:rsid w:val="55447F83"/>
    <w:rsid w:val="55671F75"/>
    <w:rsid w:val="556856D7"/>
    <w:rsid w:val="556964EC"/>
    <w:rsid w:val="55711E4F"/>
    <w:rsid w:val="55715CA9"/>
    <w:rsid w:val="55A03E80"/>
    <w:rsid w:val="55B35B94"/>
    <w:rsid w:val="55B93C63"/>
    <w:rsid w:val="55CA56D7"/>
    <w:rsid w:val="55ED7B8E"/>
    <w:rsid w:val="560D180D"/>
    <w:rsid w:val="560F1656"/>
    <w:rsid w:val="562600D5"/>
    <w:rsid w:val="562A4037"/>
    <w:rsid w:val="563803ED"/>
    <w:rsid w:val="5645469B"/>
    <w:rsid w:val="56620A35"/>
    <w:rsid w:val="567222C9"/>
    <w:rsid w:val="567822C0"/>
    <w:rsid w:val="567E4A4F"/>
    <w:rsid w:val="568F684D"/>
    <w:rsid w:val="56946E43"/>
    <w:rsid w:val="5695603D"/>
    <w:rsid w:val="56983761"/>
    <w:rsid w:val="56AA31B8"/>
    <w:rsid w:val="56B45CDA"/>
    <w:rsid w:val="56BE6103"/>
    <w:rsid w:val="56ED566F"/>
    <w:rsid w:val="56EE5E26"/>
    <w:rsid w:val="570B144B"/>
    <w:rsid w:val="571118FD"/>
    <w:rsid w:val="57437598"/>
    <w:rsid w:val="574C4005"/>
    <w:rsid w:val="57530C6B"/>
    <w:rsid w:val="575559ED"/>
    <w:rsid w:val="576018D3"/>
    <w:rsid w:val="57641DF0"/>
    <w:rsid w:val="576A2326"/>
    <w:rsid w:val="57705097"/>
    <w:rsid w:val="57725B98"/>
    <w:rsid w:val="57816A5C"/>
    <w:rsid w:val="579430A6"/>
    <w:rsid w:val="57992A6D"/>
    <w:rsid w:val="579B4A57"/>
    <w:rsid w:val="57A54D0A"/>
    <w:rsid w:val="57A879C2"/>
    <w:rsid w:val="57D87798"/>
    <w:rsid w:val="57D942F7"/>
    <w:rsid w:val="57DB1223"/>
    <w:rsid w:val="57DB2C47"/>
    <w:rsid w:val="57F23FF5"/>
    <w:rsid w:val="580150DB"/>
    <w:rsid w:val="58182704"/>
    <w:rsid w:val="58210EA6"/>
    <w:rsid w:val="58214785"/>
    <w:rsid w:val="582B7B63"/>
    <w:rsid w:val="582C3EA1"/>
    <w:rsid w:val="582E5DF3"/>
    <w:rsid w:val="58330A15"/>
    <w:rsid w:val="5833120B"/>
    <w:rsid w:val="583500BA"/>
    <w:rsid w:val="583A11C8"/>
    <w:rsid w:val="58423FCC"/>
    <w:rsid w:val="584739C7"/>
    <w:rsid w:val="584F6703"/>
    <w:rsid w:val="585F26E9"/>
    <w:rsid w:val="58650691"/>
    <w:rsid w:val="586D02C3"/>
    <w:rsid w:val="58876DD6"/>
    <w:rsid w:val="588B5198"/>
    <w:rsid w:val="58975818"/>
    <w:rsid w:val="58B546FD"/>
    <w:rsid w:val="58BA1A97"/>
    <w:rsid w:val="58C233A7"/>
    <w:rsid w:val="58C85E92"/>
    <w:rsid w:val="58D577D6"/>
    <w:rsid w:val="58D97C32"/>
    <w:rsid w:val="58F67BAF"/>
    <w:rsid w:val="58FC0C75"/>
    <w:rsid w:val="590218C9"/>
    <w:rsid w:val="59031A94"/>
    <w:rsid w:val="590538BA"/>
    <w:rsid w:val="590840BD"/>
    <w:rsid w:val="5908699E"/>
    <w:rsid w:val="59120144"/>
    <w:rsid w:val="59296659"/>
    <w:rsid w:val="59393245"/>
    <w:rsid w:val="594552C9"/>
    <w:rsid w:val="596374C6"/>
    <w:rsid w:val="59737739"/>
    <w:rsid w:val="597771DC"/>
    <w:rsid w:val="598B3C59"/>
    <w:rsid w:val="5996261C"/>
    <w:rsid w:val="59962F19"/>
    <w:rsid w:val="59B224F3"/>
    <w:rsid w:val="59B81505"/>
    <w:rsid w:val="59C03BDF"/>
    <w:rsid w:val="59C94D0C"/>
    <w:rsid w:val="59D62223"/>
    <w:rsid w:val="59D93BDC"/>
    <w:rsid w:val="59DC4EB3"/>
    <w:rsid w:val="59F72DCE"/>
    <w:rsid w:val="5A19617D"/>
    <w:rsid w:val="5A270A8E"/>
    <w:rsid w:val="5A2D0C5C"/>
    <w:rsid w:val="5A314ED1"/>
    <w:rsid w:val="5A4B65A4"/>
    <w:rsid w:val="5A5B23AF"/>
    <w:rsid w:val="5A676126"/>
    <w:rsid w:val="5A6C54BB"/>
    <w:rsid w:val="5A7F653C"/>
    <w:rsid w:val="5A81469F"/>
    <w:rsid w:val="5A93262A"/>
    <w:rsid w:val="5A933D68"/>
    <w:rsid w:val="5A941B28"/>
    <w:rsid w:val="5A9C2FB4"/>
    <w:rsid w:val="5AA8435E"/>
    <w:rsid w:val="5ABC395B"/>
    <w:rsid w:val="5AC05003"/>
    <w:rsid w:val="5ACD103A"/>
    <w:rsid w:val="5AD20A6B"/>
    <w:rsid w:val="5AE37BE1"/>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9675B"/>
    <w:rsid w:val="5B9E6C9C"/>
    <w:rsid w:val="5BA35EAA"/>
    <w:rsid w:val="5BA92A70"/>
    <w:rsid w:val="5BC26352"/>
    <w:rsid w:val="5BCB507C"/>
    <w:rsid w:val="5BDC278A"/>
    <w:rsid w:val="5BDD6BBF"/>
    <w:rsid w:val="5BEB6D81"/>
    <w:rsid w:val="5BFF0FAC"/>
    <w:rsid w:val="5C0B37C7"/>
    <w:rsid w:val="5C0E4E95"/>
    <w:rsid w:val="5C0F403D"/>
    <w:rsid w:val="5C144AA8"/>
    <w:rsid w:val="5C1C1292"/>
    <w:rsid w:val="5C244898"/>
    <w:rsid w:val="5C2A1F99"/>
    <w:rsid w:val="5C3040BC"/>
    <w:rsid w:val="5C4173CA"/>
    <w:rsid w:val="5C4629D0"/>
    <w:rsid w:val="5C4B6DED"/>
    <w:rsid w:val="5C6507C0"/>
    <w:rsid w:val="5CA171C4"/>
    <w:rsid w:val="5CA40EC9"/>
    <w:rsid w:val="5CB22750"/>
    <w:rsid w:val="5CBB6DCD"/>
    <w:rsid w:val="5CBD672B"/>
    <w:rsid w:val="5CC34378"/>
    <w:rsid w:val="5CCA4A6F"/>
    <w:rsid w:val="5CCB0AF5"/>
    <w:rsid w:val="5CCF17E0"/>
    <w:rsid w:val="5CD224B7"/>
    <w:rsid w:val="5CD85595"/>
    <w:rsid w:val="5CE81BBE"/>
    <w:rsid w:val="5CEB6116"/>
    <w:rsid w:val="5CFE0059"/>
    <w:rsid w:val="5D252C6B"/>
    <w:rsid w:val="5D456EA5"/>
    <w:rsid w:val="5D4B6C62"/>
    <w:rsid w:val="5D503BD0"/>
    <w:rsid w:val="5D520008"/>
    <w:rsid w:val="5D68596D"/>
    <w:rsid w:val="5D6D437E"/>
    <w:rsid w:val="5D7538A1"/>
    <w:rsid w:val="5D890298"/>
    <w:rsid w:val="5D903F09"/>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28D7"/>
    <w:rsid w:val="5E6A73EE"/>
    <w:rsid w:val="5E781930"/>
    <w:rsid w:val="5E86064E"/>
    <w:rsid w:val="5E8620D0"/>
    <w:rsid w:val="5E8B5A5D"/>
    <w:rsid w:val="5E8E24C9"/>
    <w:rsid w:val="5E9A671D"/>
    <w:rsid w:val="5E9D698A"/>
    <w:rsid w:val="5EBA161F"/>
    <w:rsid w:val="5EBC6505"/>
    <w:rsid w:val="5EEC3537"/>
    <w:rsid w:val="5EEF2D4C"/>
    <w:rsid w:val="5EF9204F"/>
    <w:rsid w:val="5F1875DB"/>
    <w:rsid w:val="5F187E91"/>
    <w:rsid w:val="5F621DA7"/>
    <w:rsid w:val="5F667B74"/>
    <w:rsid w:val="5F6D2386"/>
    <w:rsid w:val="5F7830EC"/>
    <w:rsid w:val="5F7F690F"/>
    <w:rsid w:val="5F843822"/>
    <w:rsid w:val="5F8E5035"/>
    <w:rsid w:val="5F913098"/>
    <w:rsid w:val="5F97445E"/>
    <w:rsid w:val="5FA928DB"/>
    <w:rsid w:val="5FB228B9"/>
    <w:rsid w:val="5FB71878"/>
    <w:rsid w:val="5FBB3F34"/>
    <w:rsid w:val="5FBE3551"/>
    <w:rsid w:val="5FC125DD"/>
    <w:rsid w:val="5FCC7E89"/>
    <w:rsid w:val="5FD37199"/>
    <w:rsid w:val="5FDB1633"/>
    <w:rsid w:val="5FDC3D51"/>
    <w:rsid w:val="5FE51C8A"/>
    <w:rsid w:val="5FF31A22"/>
    <w:rsid w:val="5FFC340C"/>
    <w:rsid w:val="5FFD7A23"/>
    <w:rsid w:val="60092439"/>
    <w:rsid w:val="60157C85"/>
    <w:rsid w:val="601E6B26"/>
    <w:rsid w:val="60234361"/>
    <w:rsid w:val="602F0189"/>
    <w:rsid w:val="603F3DC0"/>
    <w:rsid w:val="605A7EBB"/>
    <w:rsid w:val="607B4C94"/>
    <w:rsid w:val="60874295"/>
    <w:rsid w:val="608D3202"/>
    <w:rsid w:val="608E6119"/>
    <w:rsid w:val="609A1160"/>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611487"/>
    <w:rsid w:val="61634D92"/>
    <w:rsid w:val="61673ACD"/>
    <w:rsid w:val="61784BE7"/>
    <w:rsid w:val="61824566"/>
    <w:rsid w:val="618A153A"/>
    <w:rsid w:val="618E7C4A"/>
    <w:rsid w:val="61A3748F"/>
    <w:rsid w:val="61B47389"/>
    <w:rsid w:val="61B823A5"/>
    <w:rsid w:val="61C9718F"/>
    <w:rsid w:val="61D41BFF"/>
    <w:rsid w:val="61F403B5"/>
    <w:rsid w:val="61FD2F85"/>
    <w:rsid w:val="62004AD0"/>
    <w:rsid w:val="620C5660"/>
    <w:rsid w:val="62393C4F"/>
    <w:rsid w:val="62406BEA"/>
    <w:rsid w:val="62411F44"/>
    <w:rsid w:val="624C023D"/>
    <w:rsid w:val="624C69DC"/>
    <w:rsid w:val="6255478F"/>
    <w:rsid w:val="626C5506"/>
    <w:rsid w:val="626D5E0D"/>
    <w:rsid w:val="62766360"/>
    <w:rsid w:val="62796FE7"/>
    <w:rsid w:val="627A0E10"/>
    <w:rsid w:val="62986BB7"/>
    <w:rsid w:val="62A56AB5"/>
    <w:rsid w:val="62BE242A"/>
    <w:rsid w:val="62C41D67"/>
    <w:rsid w:val="62C44A40"/>
    <w:rsid w:val="62C80CE3"/>
    <w:rsid w:val="62D97E69"/>
    <w:rsid w:val="62EB3E83"/>
    <w:rsid w:val="63001644"/>
    <w:rsid w:val="630046DB"/>
    <w:rsid w:val="630C20DD"/>
    <w:rsid w:val="63243CCC"/>
    <w:rsid w:val="6326322B"/>
    <w:rsid w:val="632E37C5"/>
    <w:rsid w:val="63307E40"/>
    <w:rsid w:val="63394111"/>
    <w:rsid w:val="63406C48"/>
    <w:rsid w:val="6341508B"/>
    <w:rsid w:val="635160A4"/>
    <w:rsid w:val="635F577B"/>
    <w:rsid w:val="6368608D"/>
    <w:rsid w:val="6383198C"/>
    <w:rsid w:val="638757D4"/>
    <w:rsid w:val="63885E41"/>
    <w:rsid w:val="638C32EB"/>
    <w:rsid w:val="63901D61"/>
    <w:rsid w:val="63950A55"/>
    <w:rsid w:val="639935ED"/>
    <w:rsid w:val="63AA490E"/>
    <w:rsid w:val="63BD44B4"/>
    <w:rsid w:val="63BE30A4"/>
    <w:rsid w:val="63BE5B41"/>
    <w:rsid w:val="640514FD"/>
    <w:rsid w:val="64111C9B"/>
    <w:rsid w:val="64176F7B"/>
    <w:rsid w:val="641D578E"/>
    <w:rsid w:val="6420062C"/>
    <w:rsid w:val="642462A8"/>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E4267"/>
    <w:rsid w:val="64A8697E"/>
    <w:rsid w:val="64D51643"/>
    <w:rsid w:val="64E32075"/>
    <w:rsid w:val="64F23AA6"/>
    <w:rsid w:val="65003E8B"/>
    <w:rsid w:val="65036FBE"/>
    <w:rsid w:val="650F7CFF"/>
    <w:rsid w:val="65146AEE"/>
    <w:rsid w:val="651D7CDC"/>
    <w:rsid w:val="651F3171"/>
    <w:rsid w:val="65207A16"/>
    <w:rsid w:val="65295795"/>
    <w:rsid w:val="65356ADE"/>
    <w:rsid w:val="65376DE2"/>
    <w:rsid w:val="653A57B2"/>
    <w:rsid w:val="65451A92"/>
    <w:rsid w:val="654E013F"/>
    <w:rsid w:val="65582B50"/>
    <w:rsid w:val="656D47DB"/>
    <w:rsid w:val="6576056E"/>
    <w:rsid w:val="657D6E16"/>
    <w:rsid w:val="657F7415"/>
    <w:rsid w:val="659005FC"/>
    <w:rsid w:val="65914851"/>
    <w:rsid w:val="65936B41"/>
    <w:rsid w:val="65A4028E"/>
    <w:rsid w:val="65A50A04"/>
    <w:rsid w:val="65A645F3"/>
    <w:rsid w:val="65CC7513"/>
    <w:rsid w:val="65D219CF"/>
    <w:rsid w:val="65D6455B"/>
    <w:rsid w:val="65F0707E"/>
    <w:rsid w:val="65FB2A9F"/>
    <w:rsid w:val="65FF19D3"/>
    <w:rsid w:val="65FF1A42"/>
    <w:rsid w:val="66020F21"/>
    <w:rsid w:val="66080B1B"/>
    <w:rsid w:val="66115AD9"/>
    <w:rsid w:val="6618704B"/>
    <w:rsid w:val="661D7967"/>
    <w:rsid w:val="66270DB9"/>
    <w:rsid w:val="66293515"/>
    <w:rsid w:val="66460F7B"/>
    <w:rsid w:val="665918F6"/>
    <w:rsid w:val="666F37FA"/>
    <w:rsid w:val="66732901"/>
    <w:rsid w:val="667C3B87"/>
    <w:rsid w:val="66864D7E"/>
    <w:rsid w:val="668966E2"/>
    <w:rsid w:val="66971B5D"/>
    <w:rsid w:val="66995C04"/>
    <w:rsid w:val="66A07D9C"/>
    <w:rsid w:val="66B160D1"/>
    <w:rsid w:val="66B536C4"/>
    <w:rsid w:val="66B81E0A"/>
    <w:rsid w:val="66BE2EC6"/>
    <w:rsid w:val="66BF1BE3"/>
    <w:rsid w:val="66C55C54"/>
    <w:rsid w:val="66D56F12"/>
    <w:rsid w:val="66D66D1A"/>
    <w:rsid w:val="66DF7B09"/>
    <w:rsid w:val="66E33FAD"/>
    <w:rsid w:val="66E43D74"/>
    <w:rsid w:val="67040A74"/>
    <w:rsid w:val="670933AD"/>
    <w:rsid w:val="670C59F4"/>
    <w:rsid w:val="67282A14"/>
    <w:rsid w:val="672C7CA7"/>
    <w:rsid w:val="6738451C"/>
    <w:rsid w:val="67387D87"/>
    <w:rsid w:val="673B47B8"/>
    <w:rsid w:val="674407E3"/>
    <w:rsid w:val="674C39A5"/>
    <w:rsid w:val="67504F4F"/>
    <w:rsid w:val="67534210"/>
    <w:rsid w:val="67572F97"/>
    <w:rsid w:val="675E24D2"/>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7076B"/>
    <w:rsid w:val="682A7B56"/>
    <w:rsid w:val="682B41E7"/>
    <w:rsid w:val="682C4EDF"/>
    <w:rsid w:val="683A2B19"/>
    <w:rsid w:val="684056B7"/>
    <w:rsid w:val="684D4F50"/>
    <w:rsid w:val="684F36EB"/>
    <w:rsid w:val="685511DD"/>
    <w:rsid w:val="686B7914"/>
    <w:rsid w:val="687254E5"/>
    <w:rsid w:val="687678C8"/>
    <w:rsid w:val="687824D5"/>
    <w:rsid w:val="68932D79"/>
    <w:rsid w:val="68935010"/>
    <w:rsid w:val="68985C20"/>
    <w:rsid w:val="68992A60"/>
    <w:rsid w:val="689C1D86"/>
    <w:rsid w:val="68A7176E"/>
    <w:rsid w:val="68AE0B30"/>
    <w:rsid w:val="68B5228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A4996"/>
    <w:rsid w:val="69203F22"/>
    <w:rsid w:val="692143EC"/>
    <w:rsid w:val="69276B5F"/>
    <w:rsid w:val="693641BC"/>
    <w:rsid w:val="69392DEA"/>
    <w:rsid w:val="6956254C"/>
    <w:rsid w:val="695B67D8"/>
    <w:rsid w:val="695E1BFE"/>
    <w:rsid w:val="69663BF3"/>
    <w:rsid w:val="6966559F"/>
    <w:rsid w:val="69734269"/>
    <w:rsid w:val="697B17A3"/>
    <w:rsid w:val="697D3CFA"/>
    <w:rsid w:val="6981119B"/>
    <w:rsid w:val="69A04D54"/>
    <w:rsid w:val="69A43201"/>
    <w:rsid w:val="69B05D82"/>
    <w:rsid w:val="69B45619"/>
    <w:rsid w:val="69B84A5B"/>
    <w:rsid w:val="69BB4E04"/>
    <w:rsid w:val="69C02CBA"/>
    <w:rsid w:val="69C11A13"/>
    <w:rsid w:val="69DA054B"/>
    <w:rsid w:val="69DA1E99"/>
    <w:rsid w:val="69EE1B49"/>
    <w:rsid w:val="69EF59CB"/>
    <w:rsid w:val="6A07588C"/>
    <w:rsid w:val="6A1C0183"/>
    <w:rsid w:val="6A1E5A12"/>
    <w:rsid w:val="6A296664"/>
    <w:rsid w:val="6A344100"/>
    <w:rsid w:val="6A4138FB"/>
    <w:rsid w:val="6A554695"/>
    <w:rsid w:val="6A65735D"/>
    <w:rsid w:val="6A75325A"/>
    <w:rsid w:val="6A8546B0"/>
    <w:rsid w:val="6A875AB0"/>
    <w:rsid w:val="6A8B17DB"/>
    <w:rsid w:val="6A9B091E"/>
    <w:rsid w:val="6A9B2068"/>
    <w:rsid w:val="6ABD7FD8"/>
    <w:rsid w:val="6AD134F3"/>
    <w:rsid w:val="6AD47299"/>
    <w:rsid w:val="6AD600AA"/>
    <w:rsid w:val="6AD70BF2"/>
    <w:rsid w:val="6AEC1D3B"/>
    <w:rsid w:val="6AED377B"/>
    <w:rsid w:val="6B0277EA"/>
    <w:rsid w:val="6B320217"/>
    <w:rsid w:val="6B395913"/>
    <w:rsid w:val="6B4A6770"/>
    <w:rsid w:val="6B573197"/>
    <w:rsid w:val="6B5D179E"/>
    <w:rsid w:val="6B5E4AC9"/>
    <w:rsid w:val="6B5F2676"/>
    <w:rsid w:val="6B65380C"/>
    <w:rsid w:val="6B671EA2"/>
    <w:rsid w:val="6B6A4AA7"/>
    <w:rsid w:val="6B716486"/>
    <w:rsid w:val="6B7E6BBE"/>
    <w:rsid w:val="6B97256F"/>
    <w:rsid w:val="6B9939DA"/>
    <w:rsid w:val="6B9F5366"/>
    <w:rsid w:val="6BA72339"/>
    <w:rsid w:val="6BAB49E7"/>
    <w:rsid w:val="6BB63CBC"/>
    <w:rsid w:val="6BBA364A"/>
    <w:rsid w:val="6BC260B7"/>
    <w:rsid w:val="6BC308AD"/>
    <w:rsid w:val="6BC67A01"/>
    <w:rsid w:val="6BCC00E4"/>
    <w:rsid w:val="6BD87350"/>
    <w:rsid w:val="6BE25B6D"/>
    <w:rsid w:val="6BED0FBE"/>
    <w:rsid w:val="6BEE002A"/>
    <w:rsid w:val="6BEE5594"/>
    <w:rsid w:val="6C0E5652"/>
    <w:rsid w:val="6C137E86"/>
    <w:rsid w:val="6C140371"/>
    <w:rsid w:val="6C22324B"/>
    <w:rsid w:val="6C230425"/>
    <w:rsid w:val="6C2753B0"/>
    <w:rsid w:val="6C292016"/>
    <w:rsid w:val="6C323B01"/>
    <w:rsid w:val="6C4C2552"/>
    <w:rsid w:val="6C500640"/>
    <w:rsid w:val="6C5A1861"/>
    <w:rsid w:val="6C6D38E7"/>
    <w:rsid w:val="6C891CAD"/>
    <w:rsid w:val="6C8C6682"/>
    <w:rsid w:val="6C9E08F1"/>
    <w:rsid w:val="6CA44EA9"/>
    <w:rsid w:val="6CA739C9"/>
    <w:rsid w:val="6CB03A70"/>
    <w:rsid w:val="6CB17AA7"/>
    <w:rsid w:val="6CB20878"/>
    <w:rsid w:val="6CB33100"/>
    <w:rsid w:val="6CC7099B"/>
    <w:rsid w:val="6CC766EE"/>
    <w:rsid w:val="6CCD41C1"/>
    <w:rsid w:val="6CD343E4"/>
    <w:rsid w:val="6CE5335B"/>
    <w:rsid w:val="6CE93632"/>
    <w:rsid w:val="6D170BBB"/>
    <w:rsid w:val="6D1A5BDC"/>
    <w:rsid w:val="6D211FEB"/>
    <w:rsid w:val="6D266049"/>
    <w:rsid w:val="6D2B620D"/>
    <w:rsid w:val="6D3548AE"/>
    <w:rsid w:val="6D3C2DE6"/>
    <w:rsid w:val="6D505817"/>
    <w:rsid w:val="6D551440"/>
    <w:rsid w:val="6D5D5D6A"/>
    <w:rsid w:val="6D625E5C"/>
    <w:rsid w:val="6D715974"/>
    <w:rsid w:val="6D741A8D"/>
    <w:rsid w:val="6D7D151C"/>
    <w:rsid w:val="6D86148B"/>
    <w:rsid w:val="6D99068A"/>
    <w:rsid w:val="6DA04E76"/>
    <w:rsid w:val="6DB82245"/>
    <w:rsid w:val="6DB91201"/>
    <w:rsid w:val="6DD45168"/>
    <w:rsid w:val="6DD5073A"/>
    <w:rsid w:val="6DD71AC9"/>
    <w:rsid w:val="6DE0754B"/>
    <w:rsid w:val="6DF11F21"/>
    <w:rsid w:val="6DF14FC3"/>
    <w:rsid w:val="6DF5586E"/>
    <w:rsid w:val="6DF71E5D"/>
    <w:rsid w:val="6DF83672"/>
    <w:rsid w:val="6DFE356E"/>
    <w:rsid w:val="6E055DE4"/>
    <w:rsid w:val="6E071747"/>
    <w:rsid w:val="6E0C385B"/>
    <w:rsid w:val="6E0E7D49"/>
    <w:rsid w:val="6E1F0DEE"/>
    <w:rsid w:val="6E2F446C"/>
    <w:rsid w:val="6E3355F4"/>
    <w:rsid w:val="6E4206D8"/>
    <w:rsid w:val="6E440070"/>
    <w:rsid w:val="6E443B99"/>
    <w:rsid w:val="6E4B5B70"/>
    <w:rsid w:val="6E55721C"/>
    <w:rsid w:val="6E583AF1"/>
    <w:rsid w:val="6E5A124B"/>
    <w:rsid w:val="6E5C09A5"/>
    <w:rsid w:val="6E844447"/>
    <w:rsid w:val="6E882E87"/>
    <w:rsid w:val="6E953EC2"/>
    <w:rsid w:val="6EBA3BE4"/>
    <w:rsid w:val="6EBF04D1"/>
    <w:rsid w:val="6ECB7A47"/>
    <w:rsid w:val="6ED16DD5"/>
    <w:rsid w:val="6ED705CA"/>
    <w:rsid w:val="6EE36924"/>
    <w:rsid w:val="6EEE06C2"/>
    <w:rsid w:val="6EFD224A"/>
    <w:rsid w:val="6F003FFB"/>
    <w:rsid w:val="6F013980"/>
    <w:rsid w:val="6F0B1A7F"/>
    <w:rsid w:val="6F0B6C0D"/>
    <w:rsid w:val="6F0E69F1"/>
    <w:rsid w:val="6F0F1D97"/>
    <w:rsid w:val="6F1128CB"/>
    <w:rsid w:val="6F194D34"/>
    <w:rsid w:val="6F234022"/>
    <w:rsid w:val="6F26550A"/>
    <w:rsid w:val="6F2957BE"/>
    <w:rsid w:val="6F38216E"/>
    <w:rsid w:val="6F3F0416"/>
    <w:rsid w:val="6F696378"/>
    <w:rsid w:val="6F95124F"/>
    <w:rsid w:val="6FB1339E"/>
    <w:rsid w:val="6FBC1A6D"/>
    <w:rsid w:val="6FBE7608"/>
    <w:rsid w:val="6FC16413"/>
    <w:rsid w:val="6FCC1EB3"/>
    <w:rsid w:val="6FD35990"/>
    <w:rsid w:val="6FDE65EE"/>
    <w:rsid w:val="6FDF081E"/>
    <w:rsid w:val="6FE43DB9"/>
    <w:rsid w:val="70025AEF"/>
    <w:rsid w:val="700D5A1D"/>
    <w:rsid w:val="70142E5F"/>
    <w:rsid w:val="701B5C08"/>
    <w:rsid w:val="701C5548"/>
    <w:rsid w:val="701F0848"/>
    <w:rsid w:val="70343AE7"/>
    <w:rsid w:val="70352148"/>
    <w:rsid w:val="70452019"/>
    <w:rsid w:val="704F3556"/>
    <w:rsid w:val="7066509D"/>
    <w:rsid w:val="706C6FEA"/>
    <w:rsid w:val="707456F0"/>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41F0C"/>
    <w:rsid w:val="714A060F"/>
    <w:rsid w:val="715150D5"/>
    <w:rsid w:val="715923FE"/>
    <w:rsid w:val="71676F1B"/>
    <w:rsid w:val="71681473"/>
    <w:rsid w:val="716A2340"/>
    <w:rsid w:val="716B4F90"/>
    <w:rsid w:val="71794B25"/>
    <w:rsid w:val="71A421C5"/>
    <w:rsid w:val="71AA681E"/>
    <w:rsid w:val="71C547D9"/>
    <w:rsid w:val="71CF7BDA"/>
    <w:rsid w:val="71E20747"/>
    <w:rsid w:val="71E362CD"/>
    <w:rsid w:val="71EF6A36"/>
    <w:rsid w:val="71F14DD3"/>
    <w:rsid w:val="71F67B98"/>
    <w:rsid w:val="71F84532"/>
    <w:rsid w:val="72125FB1"/>
    <w:rsid w:val="721B1B5D"/>
    <w:rsid w:val="722C49E1"/>
    <w:rsid w:val="723745D1"/>
    <w:rsid w:val="72395888"/>
    <w:rsid w:val="72443848"/>
    <w:rsid w:val="724A2E4C"/>
    <w:rsid w:val="724B7A71"/>
    <w:rsid w:val="72502188"/>
    <w:rsid w:val="725C7368"/>
    <w:rsid w:val="726107B9"/>
    <w:rsid w:val="72653E45"/>
    <w:rsid w:val="726A3DEA"/>
    <w:rsid w:val="72807928"/>
    <w:rsid w:val="729C5989"/>
    <w:rsid w:val="72A42C65"/>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2301DD"/>
    <w:rsid w:val="73353E8B"/>
    <w:rsid w:val="73375B48"/>
    <w:rsid w:val="73406CDC"/>
    <w:rsid w:val="734758FE"/>
    <w:rsid w:val="735D74D3"/>
    <w:rsid w:val="736453F6"/>
    <w:rsid w:val="736F00E7"/>
    <w:rsid w:val="73743459"/>
    <w:rsid w:val="7376423F"/>
    <w:rsid w:val="73805387"/>
    <w:rsid w:val="7389633F"/>
    <w:rsid w:val="738F6DB1"/>
    <w:rsid w:val="73A14B30"/>
    <w:rsid w:val="73A80FB7"/>
    <w:rsid w:val="73A84D95"/>
    <w:rsid w:val="73B07F45"/>
    <w:rsid w:val="73B144A5"/>
    <w:rsid w:val="73B71B71"/>
    <w:rsid w:val="73CD6D71"/>
    <w:rsid w:val="73CF1F43"/>
    <w:rsid w:val="73D933B1"/>
    <w:rsid w:val="73E27164"/>
    <w:rsid w:val="73E45A2E"/>
    <w:rsid w:val="73E46515"/>
    <w:rsid w:val="73FF0C59"/>
    <w:rsid w:val="7400400F"/>
    <w:rsid w:val="74157E52"/>
    <w:rsid w:val="741D1102"/>
    <w:rsid w:val="74247A47"/>
    <w:rsid w:val="742C3688"/>
    <w:rsid w:val="742C46B8"/>
    <w:rsid w:val="74376062"/>
    <w:rsid w:val="74505089"/>
    <w:rsid w:val="7464581A"/>
    <w:rsid w:val="74693833"/>
    <w:rsid w:val="747F289F"/>
    <w:rsid w:val="74896D79"/>
    <w:rsid w:val="749168D8"/>
    <w:rsid w:val="74917A1A"/>
    <w:rsid w:val="74931BF1"/>
    <w:rsid w:val="74997956"/>
    <w:rsid w:val="74BB222A"/>
    <w:rsid w:val="74C27C8F"/>
    <w:rsid w:val="74C44972"/>
    <w:rsid w:val="74CE1802"/>
    <w:rsid w:val="74E12728"/>
    <w:rsid w:val="74F361E8"/>
    <w:rsid w:val="74FD57F1"/>
    <w:rsid w:val="7501385E"/>
    <w:rsid w:val="75027DD5"/>
    <w:rsid w:val="7508508E"/>
    <w:rsid w:val="75230DCC"/>
    <w:rsid w:val="75291B21"/>
    <w:rsid w:val="754A5DE6"/>
    <w:rsid w:val="754C49A9"/>
    <w:rsid w:val="754D0064"/>
    <w:rsid w:val="757A185B"/>
    <w:rsid w:val="75866B5C"/>
    <w:rsid w:val="7596708D"/>
    <w:rsid w:val="75982BEE"/>
    <w:rsid w:val="759B6D77"/>
    <w:rsid w:val="75A5515E"/>
    <w:rsid w:val="75B95B7D"/>
    <w:rsid w:val="75BB6020"/>
    <w:rsid w:val="75BD1B77"/>
    <w:rsid w:val="75CC0305"/>
    <w:rsid w:val="75D50007"/>
    <w:rsid w:val="75E2273C"/>
    <w:rsid w:val="75E60165"/>
    <w:rsid w:val="75EA1F87"/>
    <w:rsid w:val="75F83D9A"/>
    <w:rsid w:val="76011475"/>
    <w:rsid w:val="7603488C"/>
    <w:rsid w:val="76081DF8"/>
    <w:rsid w:val="76092C1C"/>
    <w:rsid w:val="762C2AC6"/>
    <w:rsid w:val="762F01BB"/>
    <w:rsid w:val="763B5D00"/>
    <w:rsid w:val="763F3B19"/>
    <w:rsid w:val="764363CC"/>
    <w:rsid w:val="76492368"/>
    <w:rsid w:val="764D3668"/>
    <w:rsid w:val="764E4608"/>
    <w:rsid w:val="76525347"/>
    <w:rsid w:val="765E7673"/>
    <w:rsid w:val="767B68E4"/>
    <w:rsid w:val="76925F8E"/>
    <w:rsid w:val="76A12729"/>
    <w:rsid w:val="76A95269"/>
    <w:rsid w:val="76B460C1"/>
    <w:rsid w:val="76BE6499"/>
    <w:rsid w:val="76C00924"/>
    <w:rsid w:val="76C44F49"/>
    <w:rsid w:val="76C86E41"/>
    <w:rsid w:val="76CB45EA"/>
    <w:rsid w:val="76CE4C73"/>
    <w:rsid w:val="76D83369"/>
    <w:rsid w:val="76DC1158"/>
    <w:rsid w:val="76EC26E5"/>
    <w:rsid w:val="76FB6EAA"/>
    <w:rsid w:val="77034CA2"/>
    <w:rsid w:val="770A6EFD"/>
    <w:rsid w:val="77284FC2"/>
    <w:rsid w:val="772C4287"/>
    <w:rsid w:val="772D4B96"/>
    <w:rsid w:val="772E6BA8"/>
    <w:rsid w:val="774E3F4E"/>
    <w:rsid w:val="77590D70"/>
    <w:rsid w:val="776B4645"/>
    <w:rsid w:val="77777FC8"/>
    <w:rsid w:val="777B7117"/>
    <w:rsid w:val="77834F70"/>
    <w:rsid w:val="778B6746"/>
    <w:rsid w:val="77994F2C"/>
    <w:rsid w:val="779C3452"/>
    <w:rsid w:val="77A20FEC"/>
    <w:rsid w:val="77AB7919"/>
    <w:rsid w:val="77AD5297"/>
    <w:rsid w:val="77B0069A"/>
    <w:rsid w:val="77B7717B"/>
    <w:rsid w:val="77C75D2F"/>
    <w:rsid w:val="77DA64AE"/>
    <w:rsid w:val="77E81100"/>
    <w:rsid w:val="77EE5FF8"/>
    <w:rsid w:val="77F47CFE"/>
    <w:rsid w:val="77F62F2B"/>
    <w:rsid w:val="77FB0E29"/>
    <w:rsid w:val="78071220"/>
    <w:rsid w:val="78247825"/>
    <w:rsid w:val="78254609"/>
    <w:rsid w:val="782943BE"/>
    <w:rsid w:val="783C636E"/>
    <w:rsid w:val="786131CE"/>
    <w:rsid w:val="7879539E"/>
    <w:rsid w:val="78907877"/>
    <w:rsid w:val="78921251"/>
    <w:rsid w:val="78971370"/>
    <w:rsid w:val="78972C99"/>
    <w:rsid w:val="78B458D9"/>
    <w:rsid w:val="78B7006A"/>
    <w:rsid w:val="78C34AA0"/>
    <w:rsid w:val="78C948FA"/>
    <w:rsid w:val="78D34C97"/>
    <w:rsid w:val="78F40661"/>
    <w:rsid w:val="78F714E3"/>
    <w:rsid w:val="78FE241B"/>
    <w:rsid w:val="79125E46"/>
    <w:rsid w:val="7927494A"/>
    <w:rsid w:val="792E7F47"/>
    <w:rsid w:val="793073EF"/>
    <w:rsid w:val="79325835"/>
    <w:rsid w:val="793410F7"/>
    <w:rsid w:val="79362C39"/>
    <w:rsid w:val="79396C57"/>
    <w:rsid w:val="793F60FD"/>
    <w:rsid w:val="794F2029"/>
    <w:rsid w:val="79517010"/>
    <w:rsid w:val="797260AB"/>
    <w:rsid w:val="797341FD"/>
    <w:rsid w:val="799376EC"/>
    <w:rsid w:val="79A17C23"/>
    <w:rsid w:val="79B058B2"/>
    <w:rsid w:val="79B15ED2"/>
    <w:rsid w:val="79BA067F"/>
    <w:rsid w:val="79DF4ED0"/>
    <w:rsid w:val="79F03AE5"/>
    <w:rsid w:val="79FB7B5D"/>
    <w:rsid w:val="7A00559C"/>
    <w:rsid w:val="7A114D93"/>
    <w:rsid w:val="7A221A46"/>
    <w:rsid w:val="7A2A510B"/>
    <w:rsid w:val="7A323ADA"/>
    <w:rsid w:val="7A326B1B"/>
    <w:rsid w:val="7A336882"/>
    <w:rsid w:val="7A393183"/>
    <w:rsid w:val="7A3B768B"/>
    <w:rsid w:val="7A440A4D"/>
    <w:rsid w:val="7A4E21F3"/>
    <w:rsid w:val="7A516BDD"/>
    <w:rsid w:val="7A59468E"/>
    <w:rsid w:val="7A6C4441"/>
    <w:rsid w:val="7A7F2870"/>
    <w:rsid w:val="7A850D2F"/>
    <w:rsid w:val="7A8F52F4"/>
    <w:rsid w:val="7A9427C1"/>
    <w:rsid w:val="7A992D98"/>
    <w:rsid w:val="7AA13D07"/>
    <w:rsid w:val="7AAC35E6"/>
    <w:rsid w:val="7ABE13C2"/>
    <w:rsid w:val="7AC07E2E"/>
    <w:rsid w:val="7AD445ED"/>
    <w:rsid w:val="7AD659E7"/>
    <w:rsid w:val="7AE12324"/>
    <w:rsid w:val="7AE315B9"/>
    <w:rsid w:val="7AEF430B"/>
    <w:rsid w:val="7AF13085"/>
    <w:rsid w:val="7AF52522"/>
    <w:rsid w:val="7AFB26F4"/>
    <w:rsid w:val="7B08019A"/>
    <w:rsid w:val="7B0C530B"/>
    <w:rsid w:val="7B2648CA"/>
    <w:rsid w:val="7B467B52"/>
    <w:rsid w:val="7B495824"/>
    <w:rsid w:val="7B4E5A6B"/>
    <w:rsid w:val="7B5279EF"/>
    <w:rsid w:val="7B5B5A83"/>
    <w:rsid w:val="7B640887"/>
    <w:rsid w:val="7B6F0854"/>
    <w:rsid w:val="7B6F5A40"/>
    <w:rsid w:val="7B7A4A85"/>
    <w:rsid w:val="7B8248FE"/>
    <w:rsid w:val="7B853B99"/>
    <w:rsid w:val="7B857E7F"/>
    <w:rsid w:val="7B87496F"/>
    <w:rsid w:val="7B8A0B43"/>
    <w:rsid w:val="7B907B1F"/>
    <w:rsid w:val="7B935998"/>
    <w:rsid w:val="7B994F92"/>
    <w:rsid w:val="7BA264D1"/>
    <w:rsid w:val="7BA9357D"/>
    <w:rsid w:val="7BB0282A"/>
    <w:rsid w:val="7BB31141"/>
    <w:rsid w:val="7BC1489A"/>
    <w:rsid w:val="7BC8773B"/>
    <w:rsid w:val="7BDC19E7"/>
    <w:rsid w:val="7BE0734A"/>
    <w:rsid w:val="7BEF72AD"/>
    <w:rsid w:val="7BF0064E"/>
    <w:rsid w:val="7BF9498D"/>
    <w:rsid w:val="7C0F2F96"/>
    <w:rsid w:val="7C173FE1"/>
    <w:rsid w:val="7C200D53"/>
    <w:rsid w:val="7C28176E"/>
    <w:rsid w:val="7C302E5B"/>
    <w:rsid w:val="7C477467"/>
    <w:rsid w:val="7C4D55F9"/>
    <w:rsid w:val="7C6007A8"/>
    <w:rsid w:val="7C63087E"/>
    <w:rsid w:val="7C663C26"/>
    <w:rsid w:val="7C6E5998"/>
    <w:rsid w:val="7C72658D"/>
    <w:rsid w:val="7C846219"/>
    <w:rsid w:val="7C97347E"/>
    <w:rsid w:val="7C9D6531"/>
    <w:rsid w:val="7C9E351E"/>
    <w:rsid w:val="7CA61B13"/>
    <w:rsid w:val="7CAF1468"/>
    <w:rsid w:val="7CB03EB3"/>
    <w:rsid w:val="7CCA1B4A"/>
    <w:rsid w:val="7CCA2AE3"/>
    <w:rsid w:val="7CD15345"/>
    <w:rsid w:val="7CD4564E"/>
    <w:rsid w:val="7CDC0EEC"/>
    <w:rsid w:val="7CE33EC2"/>
    <w:rsid w:val="7CE52DCD"/>
    <w:rsid w:val="7D074DA1"/>
    <w:rsid w:val="7D1557E3"/>
    <w:rsid w:val="7D283C73"/>
    <w:rsid w:val="7D2E058B"/>
    <w:rsid w:val="7D33280D"/>
    <w:rsid w:val="7D4516DD"/>
    <w:rsid w:val="7D4B475B"/>
    <w:rsid w:val="7D635A3A"/>
    <w:rsid w:val="7D690C25"/>
    <w:rsid w:val="7D6C3BFC"/>
    <w:rsid w:val="7D705107"/>
    <w:rsid w:val="7D7C0ED3"/>
    <w:rsid w:val="7D7E28F2"/>
    <w:rsid w:val="7D801B72"/>
    <w:rsid w:val="7D802C5C"/>
    <w:rsid w:val="7D8A5A61"/>
    <w:rsid w:val="7D92656C"/>
    <w:rsid w:val="7DB41922"/>
    <w:rsid w:val="7DCE46FB"/>
    <w:rsid w:val="7DD50BAB"/>
    <w:rsid w:val="7DE55831"/>
    <w:rsid w:val="7DF001B7"/>
    <w:rsid w:val="7DFF0B7A"/>
    <w:rsid w:val="7E045193"/>
    <w:rsid w:val="7E2C6973"/>
    <w:rsid w:val="7E4842BD"/>
    <w:rsid w:val="7E631172"/>
    <w:rsid w:val="7E770B57"/>
    <w:rsid w:val="7E7A4A06"/>
    <w:rsid w:val="7E7D1795"/>
    <w:rsid w:val="7E804FE1"/>
    <w:rsid w:val="7E8852A1"/>
    <w:rsid w:val="7E8F3FD2"/>
    <w:rsid w:val="7EA372CA"/>
    <w:rsid w:val="7EC062DA"/>
    <w:rsid w:val="7EC52AE7"/>
    <w:rsid w:val="7ED82275"/>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6A4048"/>
    <w:rsid w:val="7F6A588B"/>
    <w:rsid w:val="7F71486F"/>
    <w:rsid w:val="7F722ED3"/>
    <w:rsid w:val="7F7F4513"/>
    <w:rsid w:val="7F8C2A24"/>
    <w:rsid w:val="7F921D4D"/>
    <w:rsid w:val="7F98476A"/>
    <w:rsid w:val="7FA57FE2"/>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autoRedefine/>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33"/>
    <w:autoRedefine/>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34"/>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36"/>
    <w:autoRedefine/>
    <w:qFormat/>
    <w:uiPriority w:val="0"/>
    <w:pPr>
      <w:autoSpaceDE w:val="0"/>
      <w:autoSpaceDN w:val="0"/>
      <w:adjustRightInd w:val="0"/>
      <w:ind w:firstLine="420"/>
      <w:jc w:val="left"/>
    </w:pPr>
    <w:rPr>
      <w:rFonts w:ascii="宋体"/>
      <w:kern w:val="0"/>
      <w:sz w:val="24"/>
      <w:szCs w:val="20"/>
    </w:rPr>
  </w:style>
  <w:style w:type="paragraph" w:styleId="7">
    <w:name w:val="annotation text"/>
    <w:basedOn w:val="1"/>
    <w:link w:val="39"/>
    <w:autoRedefine/>
    <w:semiHidden/>
    <w:qFormat/>
    <w:uiPriority w:val="99"/>
    <w:pPr>
      <w:jc w:val="left"/>
    </w:pPr>
    <w:rPr>
      <w:rFonts w:eastAsia="楷体_GB2312"/>
      <w:sz w:val="26"/>
      <w:szCs w:val="20"/>
    </w:rPr>
  </w:style>
  <w:style w:type="paragraph" w:styleId="8">
    <w:name w:val="Body Text"/>
    <w:basedOn w:val="1"/>
    <w:next w:val="1"/>
    <w:link w:val="41"/>
    <w:autoRedefine/>
    <w:qFormat/>
    <w:uiPriority w:val="99"/>
    <w:pPr>
      <w:tabs>
        <w:tab w:val="left" w:pos="567"/>
      </w:tabs>
      <w:spacing w:before="120" w:line="22" w:lineRule="atLeast"/>
    </w:pPr>
    <w:rPr>
      <w:rFonts w:ascii="宋体" w:hAnsi="宋体"/>
      <w:sz w:val="24"/>
      <w:szCs w:val="20"/>
    </w:rPr>
  </w:style>
  <w:style w:type="paragraph" w:styleId="9">
    <w:name w:val="List 2"/>
    <w:basedOn w:val="1"/>
    <w:autoRedefine/>
    <w:qFormat/>
    <w:locked/>
    <w:uiPriority w:val="99"/>
    <w:pPr>
      <w:ind w:left="100" w:leftChars="200" w:hanging="200" w:hangingChars="200"/>
    </w:pPr>
  </w:style>
  <w:style w:type="paragraph" w:styleId="10">
    <w:name w:val="Plain Text"/>
    <w:basedOn w:val="1"/>
    <w:link w:val="57"/>
    <w:autoRedefine/>
    <w:qFormat/>
    <w:locked/>
    <w:uiPriority w:val="0"/>
    <w:rPr>
      <w:rFonts w:ascii="宋体" w:hAnsi="Courier New"/>
      <w:kern w:val="0"/>
      <w:sz w:val="20"/>
      <w:szCs w:val="20"/>
    </w:rPr>
  </w:style>
  <w:style w:type="paragraph" w:styleId="11">
    <w:name w:val="Date"/>
    <w:basedOn w:val="1"/>
    <w:next w:val="1"/>
    <w:link w:val="51"/>
    <w:autoRedefine/>
    <w:qFormat/>
    <w:uiPriority w:val="99"/>
    <w:rPr>
      <w:rFonts w:ascii="宋体" w:hAnsi="宋体" w:eastAsia="楷体_GB2312"/>
      <w:sz w:val="24"/>
      <w:szCs w:val="20"/>
    </w:rPr>
  </w:style>
  <w:style w:type="paragraph" w:styleId="12">
    <w:name w:val="Balloon Text"/>
    <w:basedOn w:val="1"/>
    <w:link w:val="43"/>
    <w:autoRedefine/>
    <w:qFormat/>
    <w:uiPriority w:val="99"/>
    <w:rPr>
      <w:rFonts w:eastAsia="楷体_GB2312"/>
      <w:sz w:val="18"/>
      <w:szCs w:val="20"/>
    </w:rPr>
  </w:style>
  <w:style w:type="paragraph" w:styleId="13">
    <w:name w:val="footer"/>
    <w:basedOn w:val="1"/>
    <w:link w:val="44"/>
    <w:autoRedefine/>
    <w:qFormat/>
    <w:uiPriority w:val="99"/>
    <w:pPr>
      <w:tabs>
        <w:tab w:val="center" w:pos="4153"/>
        <w:tab w:val="right" w:pos="8306"/>
      </w:tabs>
      <w:snapToGrid w:val="0"/>
      <w:jc w:val="left"/>
    </w:pPr>
    <w:rPr>
      <w:rFonts w:eastAsia="楷体_GB2312"/>
      <w:sz w:val="18"/>
      <w:szCs w:val="20"/>
    </w:rPr>
  </w:style>
  <w:style w:type="paragraph" w:styleId="14">
    <w:name w:val="header"/>
    <w:basedOn w:val="1"/>
    <w:link w:val="38"/>
    <w:autoRedefine/>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5">
    <w:name w:val="toc 9"/>
    <w:next w:val="1"/>
    <w:autoRedefine/>
    <w:qFormat/>
    <w:uiPriority w:val="0"/>
    <w:pPr>
      <w:wordWrap w:val="0"/>
      <w:ind w:left="1183"/>
      <w:jc w:val="both"/>
    </w:pPr>
    <w:rPr>
      <w:rFonts w:ascii="MingLiU" w:hAnsi="Times New Roman" w:eastAsia="宋体" w:cs="Times New Roman"/>
      <w:color w:val="000000"/>
      <w:sz w:val="11"/>
      <w:lang w:val="en-US" w:eastAsia="zh-CN" w:bidi="ar-SA"/>
    </w:rPr>
  </w:style>
  <w:style w:type="paragraph" w:styleId="16">
    <w:name w:val="Normal (Web)"/>
    <w:basedOn w:val="1"/>
    <w:autoRedefine/>
    <w:semiHidden/>
    <w:unhideWhenUsed/>
    <w:qFormat/>
    <w:locked/>
    <w:uiPriority w:val="99"/>
    <w:rPr>
      <w:sz w:val="24"/>
    </w:rPr>
  </w:style>
  <w:style w:type="paragraph" w:styleId="17">
    <w:name w:val="index 1"/>
    <w:basedOn w:val="1"/>
    <w:next w:val="1"/>
    <w:autoRedefine/>
    <w:semiHidden/>
    <w:qFormat/>
    <w:uiPriority w:val="99"/>
    <w:rPr>
      <w:rFonts w:eastAsia="楷体_GB2312"/>
      <w:sz w:val="26"/>
      <w:szCs w:val="20"/>
    </w:rPr>
  </w:style>
  <w:style w:type="paragraph" w:styleId="18">
    <w:name w:val="annotation subject"/>
    <w:basedOn w:val="7"/>
    <w:next w:val="7"/>
    <w:link w:val="40"/>
    <w:autoRedefine/>
    <w:semiHidden/>
    <w:qFormat/>
    <w:uiPriority w:val="99"/>
    <w:rPr>
      <w:b/>
      <w:bCs/>
    </w:rPr>
  </w:style>
  <w:style w:type="paragraph" w:styleId="19">
    <w:name w:val="Body Text First Indent"/>
    <w:basedOn w:val="8"/>
    <w:autoRedefine/>
    <w:unhideWhenUsed/>
    <w:qFormat/>
    <w:locked/>
    <w:uiPriority w:val="99"/>
    <w:pPr>
      <w:ind w:firstLine="420" w:firstLineChars="100"/>
    </w:pPr>
  </w:style>
  <w:style w:type="paragraph" w:styleId="20">
    <w:name w:val="Body Text First Indent 2"/>
    <w:basedOn w:val="1"/>
    <w:next w:val="1"/>
    <w:autoRedefine/>
    <w:qFormat/>
    <w:locked/>
    <w:uiPriority w:val="0"/>
    <w:pPr>
      <w:ind w:firstLine="420" w:firstLineChars="200"/>
    </w:pPr>
  </w:style>
  <w:style w:type="table" w:styleId="22">
    <w:name w:val="Table Grid"/>
    <w:basedOn w:val="2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99"/>
    <w:rPr>
      <w:rFonts w:cs="Times New Roman"/>
      <w:b/>
    </w:rPr>
  </w:style>
  <w:style w:type="character" w:styleId="25">
    <w:name w:val="page number"/>
    <w:basedOn w:val="23"/>
    <w:autoRedefine/>
    <w:qFormat/>
    <w:uiPriority w:val="99"/>
    <w:rPr>
      <w:rFonts w:cs="Times New Roman"/>
    </w:rPr>
  </w:style>
  <w:style w:type="character" w:styleId="26">
    <w:name w:val="FollowedHyperlink"/>
    <w:basedOn w:val="23"/>
    <w:autoRedefine/>
    <w:qFormat/>
    <w:uiPriority w:val="99"/>
    <w:rPr>
      <w:rFonts w:cs="Times New Roman"/>
      <w:color w:val="800080"/>
      <w:u w:val="single"/>
    </w:rPr>
  </w:style>
  <w:style w:type="character" w:styleId="27">
    <w:name w:val="Emphasis"/>
    <w:basedOn w:val="23"/>
    <w:autoRedefine/>
    <w:qFormat/>
    <w:uiPriority w:val="0"/>
    <w:rPr>
      <w:i/>
    </w:rPr>
  </w:style>
  <w:style w:type="character" w:styleId="28">
    <w:name w:val="Hyperlink"/>
    <w:basedOn w:val="23"/>
    <w:autoRedefine/>
    <w:qFormat/>
    <w:uiPriority w:val="99"/>
    <w:rPr>
      <w:rFonts w:cs="Times New Roman"/>
      <w:color w:val="0000FF"/>
      <w:u w:val="single"/>
    </w:rPr>
  </w:style>
  <w:style w:type="character" w:styleId="29">
    <w:name w:val="annotation reference"/>
    <w:basedOn w:val="23"/>
    <w:autoRedefine/>
    <w:semiHidden/>
    <w:qFormat/>
    <w:uiPriority w:val="99"/>
    <w:rPr>
      <w:rFonts w:cs="Times New Roman"/>
      <w:sz w:val="21"/>
    </w:rPr>
  </w:style>
  <w:style w:type="paragraph" w:customStyle="1" w:styleId="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1">
    <w:name w:val="Body Text Indent 21"/>
    <w:basedOn w:val="1"/>
    <w:autoRedefine/>
    <w:qFormat/>
    <w:uiPriority w:val="0"/>
    <w:pPr>
      <w:spacing w:before="100" w:beforeAutospacing="1" w:after="100" w:afterAutospacing="1" w:line="480" w:lineRule="auto"/>
      <w:ind w:left="200" w:leftChars="200"/>
    </w:pPr>
    <w:rPr>
      <w:rFonts w:ascii="Calibri" w:hAnsi="Calibri"/>
    </w:rPr>
  </w:style>
  <w:style w:type="character" w:customStyle="1" w:styleId="32">
    <w:name w:val="标题 1 Char"/>
    <w:basedOn w:val="23"/>
    <w:link w:val="2"/>
    <w:autoRedefine/>
    <w:qFormat/>
    <w:locked/>
    <w:uiPriority w:val="99"/>
    <w:rPr>
      <w:rFonts w:cs="Times New Roman"/>
      <w:b/>
      <w:bCs/>
      <w:kern w:val="44"/>
      <w:sz w:val="44"/>
      <w:szCs w:val="44"/>
    </w:rPr>
  </w:style>
  <w:style w:type="character" w:customStyle="1" w:styleId="33">
    <w:name w:val="标题 2 Char"/>
    <w:basedOn w:val="23"/>
    <w:link w:val="3"/>
    <w:autoRedefine/>
    <w:semiHidden/>
    <w:qFormat/>
    <w:locked/>
    <w:uiPriority w:val="99"/>
    <w:rPr>
      <w:rFonts w:ascii="Cambria" w:hAnsi="Cambria" w:eastAsia="宋体" w:cs="Times New Roman"/>
      <w:b/>
      <w:bCs/>
      <w:sz w:val="32"/>
      <w:szCs w:val="32"/>
    </w:rPr>
  </w:style>
  <w:style w:type="character" w:customStyle="1" w:styleId="34">
    <w:name w:val="标题 3 Char"/>
    <w:basedOn w:val="23"/>
    <w:link w:val="4"/>
    <w:autoRedefine/>
    <w:semiHidden/>
    <w:qFormat/>
    <w:locked/>
    <w:uiPriority w:val="99"/>
    <w:rPr>
      <w:rFonts w:cs="Times New Roman"/>
      <w:b/>
      <w:bCs/>
      <w:sz w:val="32"/>
      <w:szCs w:val="32"/>
    </w:rPr>
  </w:style>
  <w:style w:type="character" w:customStyle="1" w:styleId="35">
    <w:name w:val="style21"/>
    <w:autoRedefine/>
    <w:qFormat/>
    <w:uiPriority w:val="99"/>
    <w:rPr>
      <w:color w:val="0000A0"/>
      <w:sz w:val="33"/>
    </w:rPr>
  </w:style>
  <w:style w:type="character" w:customStyle="1" w:styleId="36">
    <w:name w:val="正文缩进 Char"/>
    <w:link w:val="5"/>
    <w:autoRedefine/>
    <w:qFormat/>
    <w:locked/>
    <w:uiPriority w:val="0"/>
    <w:rPr>
      <w:rFonts w:ascii="宋体" w:eastAsia="宋体"/>
      <w:sz w:val="24"/>
      <w:lang w:val="en-US" w:eastAsia="zh-CN"/>
    </w:rPr>
  </w:style>
  <w:style w:type="character" w:customStyle="1" w:styleId="37">
    <w:name w:val="dr"/>
    <w:basedOn w:val="23"/>
    <w:autoRedefine/>
    <w:qFormat/>
    <w:uiPriority w:val="99"/>
    <w:rPr>
      <w:rFonts w:cs="Times New Roman"/>
    </w:rPr>
  </w:style>
  <w:style w:type="character" w:customStyle="1" w:styleId="38">
    <w:name w:val="页眉 Char"/>
    <w:basedOn w:val="23"/>
    <w:link w:val="14"/>
    <w:autoRedefine/>
    <w:semiHidden/>
    <w:qFormat/>
    <w:locked/>
    <w:uiPriority w:val="99"/>
    <w:rPr>
      <w:rFonts w:cs="Times New Roman"/>
      <w:sz w:val="18"/>
      <w:szCs w:val="18"/>
    </w:rPr>
  </w:style>
  <w:style w:type="character" w:customStyle="1" w:styleId="39">
    <w:name w:val="批注文字 Char"/>
    <w:basedOn w:val="23"/>
    <w:link w:val="7"/>
    <w:autoRedefine/>
    <w:semiHidden/>
    <w:qFormat/>
    <w:locked/>
    <w:uiPriority w:val="99"/>
    <w:rPr>
      <w:rFonts w:cs="Times New Roman"/>
      <w:sz w:val="24"/>
      <w:szCs w:val="24"/>
    </w:rPr>
  </w:style>
  <w:style w:type="character" w:customStyle="1" w:styleId="40">
    <w:name w:val="批注主题 Char"/>
    <w:basedOn w:val="39"/>
    <w:link w:val="18"/>
    <w:autoRedefine/>
    <w:semiHidden/>
    <w:qFormat/>
    <w:locked/>
    <w:uiPriority w:val="99"/>
    <w:rPr>
      <w:rFonts w:cs="Times New Roman"/>
      <w:b/>
      <w:bCs/>
      <w:sz w:val="24"/>
      <w:szCs w:val="24"/>
    </w:rPr>
  </w:style>
  <w:style w:type="character" w:customStyle="1" w:styleId="41">
    <w:name w:val="正文文本 Char"/>
    <w:basedOn w:val="23"/>
    <w:link w:val="8"/>
    <w:autoRedefine/>
    <w:semiHidden/>
    <w:qFormat/>
    <w:locked/>
    <w:uiPriority w:val="99"/>
    <w:rPr>
      <w:rFonts w:cs="Times New Roman"/>
      <w:sz w:val="24"/>
      <w:szCs w:val="24"/>
    </w:rPr>
  </w:style>
  <w:style w:type="character" w:customStyle="1" w:styleId="42">
    <w:name w:val="日期 字符"/>
    <w:basedOn w:val="23"/>
    <w:link w:val="11"/>
    <w:autoRedefine/>
    <w:semiHidden/>
    <w:qFormat/>
    <w:locked/>
    <w:uiPriority w:val="99"/>
    <w:rPr>
      <w:rFonts w:cs="Times New Roman"/>
      <w:sz w:val="24"/>
      <w:szCs w:val="24"/>
    </w:rPr>
  </w:style>
  <w:style w:type="character" w:customStyle="1" w:styleId="43">
    <w:name w:val="批注框文本 Char"/>
    <w:basedOn w:val="23"/>
    <w:link w:val="12"/>
    <w:autoRedefine/>
    <w:semiHidden/>
    <w:qFormat/>
    <w:locked/>
    <w:uiPriority w:val="99"/>
    <w:rPr>
      <w:rFonts w:cs="Times New Roman"/>
      <w:sz w:val="2"/>
    </w:rPr>
  </w:style>
  <w:style w:type="character" w:customStyle="1" w:styleId="44">
    <w:name w:val="页脚 Char"/>
    <w:basedOn w:val="23"/>
    <w:link w:val="13"/>
    <w:autoRedefine/>
    <w:semiHidden/>
    <w:qFormat/>
    <w:locked/>
    <w:uiPriority w:val="99"/>
    <w:rPr>
      <w:rFonts w:cs="Times New Roman"/>
      <w:sz w:val="18"/>
      <w:szCs w:val="18"/>
    </w:rPr>
  </w:style>
  <w:style w:type="paragraph" w:customStyle="1" w:styleId="45">
    <w:name w:val="Char Char Char1 Char Char Char Char Char Char Char Char Char Char"/>
    <w:basedOn w:val="1"/>
    <w:autoRedefine/>
    <w:qFormat/>
    <w:uiPriority w:val="99"/>
    <w:rPr>
      <w:rFonts w:ascii="Tahoma" w:hAnsi="Tahoma"/>
      <w:sz w:val="24"/>
      <w:szCs w:val="20"/>
    </w:rPr>
  </w:style>
  <w:style w:type="paragraph" w:customStyle="1" w:styleId="46">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47">
    <w:name w:val="Char"/>
    <w:basedOn w:val="1"/>
    <w:autoRedefine/>
    <w:qFormat/>
    <w:uiPriority w:val="99"/>
    <w:pPr>
      <w:tabs>
        <w:tab w:val="left" w:pos="360"/>
      </w:tabs>
    </w:pPr>
    <w:rPr>
      <w:sz w:val="24"/>
    </w:rPr>
  </w:style>
  <w:style w:type="paragraph" w:customStyle="1" w:styleId="48">
    <w:name w:val="Í¼¡À¡¡¡¡¡¡¡¡¡¡¡¡¡§¬¬¬¬¬¬ªÕýÎÄ"/>
    <w:basedOn w:val="1"/>
    <w:next w:val="5"/>
    <w:autoRedefine/>
    <w:qFormat/>
    <w:uiPriority w:val="99"/>
    <w:pPr>
      <w:ind w:firstLine="420" w:firstLineChars="200"/>
    </w:pPr>
    <w:rPr>
      <w:sz w:val="24"/>
      <w:szCs w:val="20"/>
    </w:rPr>
  </w:style>
  <w:style w:type="paragraph" w:customStyle="1" w:styleId="49">
    <w:name w:val="列出段落1"/>
    <w:basedOn w:val="1"/>
    <w:autoRedefine/>
    <w:qFormat/>
    <w:uiPriority w:val="99"/>
    <w:pPr>
      <w:ind w:firstLine="420" w:firstLineChars="200"/>
    </w:pPr>
    <w:rPr>
      <w:rFonts w:ascii="Calibri" w:hAnsi="Calibri"/>
      <w:szCs w:val="22"/>
    </w:rPr>
  </w:style>
  <w:style w:type="paragraph" w:customStyle="1" w:styleId="50">
    <w:name w:val="列出段落2"/>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1">
    <w:name w:val="日期 Char"/>
    <w:basedOn w:val="23"/>
    <w:link w:val="11"/>
    <w:autoRedefine/>
    <w:qFormat/>
    <w:uiPriority w:val="0"/>
    <w:rPr>
      <w:rFonts w:hint="default" w:ascii="Times New Roman" w:hAnsi="Times New Roman" w:cs="Times New Roman"/>
      <w:sz w:val="24"/>
    </w:rPr>
  </w:style>
  <w:style w:type="character" w:customStyle="1" w:styleId="52">
    <w:name w:val="font11"/>
    <w:basedOn w:val="23"/>
    <w:autoRedefine/>
    <w:qFormat/>
    <w:uiPriority w:val="99"/>
    <w:rPr>
      <w:rFonts w:ascii="Times New Roman" w:hAnsi="Times New Roman" w:cs="Times New Roman"/>
      <w:color w:val="000000"/>
      <w:sz w:val="22"/>
      <w:szCs w:val="22"/>
      <w:u w:val="none"/>
    </w:rPr>
  </w:style>
  <w:style w:type="character" w:customStyle="1" w:styleId="53">
    <w:name w:val="font01"/>
    <w:basedOn w:val="23"/>
    <w:autoRedefine/>
    <w:qFormat/>
    <w:uiPriority w:val="99"/>
    <w:rPr>
      <w:rFonts w:ascii="Times New Roman" w:hAnsi="Times New Roman" w:cs="Times New Roman"/>
      <w:color w:val="000000"/>
      <w:sz w:val="22"/>
      <w:szCs w:val="22"/>
      <w:u w:val="none"/>
      <w:vertAlign w:val="superscript"/>
    </w:rPr>
  </w:style>
  <w:style w:type="character" w:customStyle="1" w:styleId="54">
    <w:name w:val="font51"/>
    <w:basedOn w:val="23"/>
    <w:autoRedefine/>
    <w:qFormat/>
    <w:uiPriority w:val="99"/>
    <w:rPr>
      <w:rFonts w:ascii="Times New Roman" w:hAnsi="Times New Roman" w:cs="Times New Roman"/>
      <w:color w:val="000000"/>
      <w:sz w:val="22"/>
      <w:szCs w:val="22"/>
      <w:u w:val="none"/>
    </w:rPr>
  </w:style>
  <w:style w:type="paragraph" w:customStyle="1" w:styleId="55">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styleId="56">
    <w:name w:val="List Paragraph"/>
    <w:basedOn w:val="1"/>
    <w:autoRedefine/>
    <w:unhideWhenUsed/>
    <w:qFormat/>
    <w:uiPriority w:val="99"/>
    <w:pPr>
      <w:ind w:firstLine="420" w:firstLineChars="200"/>
    </w:pPr>
  </w:style>
  <w:style w:type="character" w:customStyle="1" w:styleId="57">
    <w:name w:val="纯文本 Char"/>
    <w:basedOn w:val="23"/>
    <w:link w:val="10"/>
    <w:autoRedefine/>
    <w:qFormat/>
    <w:uiPriority w:val="0"/>
    <w:rPr>
      <w:rFonts w:ascii="宋体" w:hAnsi="Courier New"/>
    </w:rPr>
  </w:style>
  <w:style w:type="paragraph" w:customStyle="1" w:styleId="58">
    <w:name w:val="样式 标题 1 + 宋体 居中 段前: 17 磅 段后: 16.5 磅"/>
    <w:basedOn w:val="2"/>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59">
    <w:name w:val="font81"/>
    <w:basedOn w:val="23"/>
    <w:autoRedefine/>
    <w:qFormat/>
    <w:uiPriority w:val="0"/>
    <w:rPr>
      <w:rFonts w:hint="eastAsia" w:ascii="微软雅黑" w:hAnsi="微软雅黑" w:eastAsia="微软雅黑" w:cs="微软雅黑"/>
      <w:b/>
      <w:color w:val="000000"/>
      <w:sz w:val="22"/>
      <w:szCs w:val="22"/>
      <w:u w:val="none"/>
    </w:rPr>
  </w:style>
  <w:style w:type="paragraph" w:customStyle="1" w:styleId="60">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18810</Words>
  <Characters>2660</Characters>
  <Lines>22</Lines>
  <Paragraphs>42</Paragraphs>
  <TotalTime>0</TotalTime>
  <ScaleCrop>false</ScaleCrop>
  <LinksUpToDate>false</LinksUpToDate>
  <CharactersWithSpaces>21428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2019-12-03T06:03:00Z</dcterms:created>
  <dc:creator>商议</dc:creator>
  <cp:lastModifiedBy>ʚɞ</cp:lastModifiedBy>
  <cp:lastPrinted>2020-08-20T00:50:00Z</cp:lastPrinted>
  <dcterms:modified xsi:type="dcterms:W3CDTF">2024-04-28T08:54:06Z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68DB576F61A84643955E31BC4E5ED5A8_13</vt:lpwstr>
  </property>
</Properties>
</file>