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rPr>
      </w:pPr>
      <w:bookmarkStart w:id="0" w:name="_Toc288738390"/>
      <w:bookmarkStart w:id="1" w:name="_Toc288738823"/>
    </w:p>
    <w:p>
      <w:pPr>
        <w:spacing w:line="360" w:lineRule="auto"/>
        <w:rPr>
          <w:rFonts w:ascii="宋体" w:hAnsi="宋体"/>
        </w:rPr>
      </w:pPr>
    </w:p>
    <w:p>
      <w:pPr>
        <w:spacing w:line="360" w:lineRule="auto"/>
        <w:rPr>
          <w:rFonts w:ascii="宋体" w:hAnsi="宋体"/>
        </w:rPr>
      </w:pPr>
    </w:p>
    <w:p>
      <w:pPr>
        <w:snapToGrid w:val="0"/>
        <w:spacing w:line="360" w:lineRule="auto"/>
        <w:jc w:val="center"/>
        <w:rPr>
          <w:rFonts w:ascii="宋体" w:hAnsi="宋体" w:cs="Arial"/>
          <w:b/>
          <w:sz w:val="48"/>
          <w:szCs w:val="48"/>
        </w:rPr>
      </w:pPr>
      <w:r>
        <w:rPr>
          <w:rFonts w:hint="eastAsia" w:ascii="宋体" w:hAnsi="宋体"/>
          <w:b/>
          <w:sz w:val="44"/>
          <w:szCs w:val="44"/>
        </w:rPr>
        <w:t>成章卫生院高清电子肠镜配套设备</w:t>
      </w:r>
      <w:r>
        <w:rPr>
          <w:rFonts w:hint="eastAsia" w:ascii="宋体" w:hAnsi="宋体" w:cs="Arial"/>
          <w:b/>
          <w:sz w:val="44"/>
          <w:szCs w:val="44"/>
        </w:rPr>
        <w:t>采购项目</w:t>
      </w:r>
    </w:p>
    <w:p>
      <w:pPr>
        <w:snapToGrid w:val="0"/>
        <w:spacing w:line="360" w:lineRule="auto"/>
        <w:rPr>
          <w:rFonts w:ascii="宋体" w:hAnsi="宋体" w:cs="黑体"/>
          <w:b/>
          <w:spacing w:val="170"/>
          <w:kern w:val="0"/>
          <w:sz w:val="72"/>
          <w:szCs w:val="72"/>
        </w:rPr>
      </w:pPr>
    </w:p>
    <w:p>
      <w:pPr>
        <w:snapToGrid w:val="0"/>
        <w:spacing w:line="360" w:lineRule="auto"/>
        <w:rPr>
          <w:rFonts w:ascii="宋体" w:hAnsi="宋体" w:cs="黑体"/>
          <w:b/>
          <w:spacing w:val="170"/>
          <w:kern w:val="0"/>
          <w:sz w:val="72"/>
          <w:szCs w:val="72"/>
        </w:rPr>
      </w:pPr>
    </w:p>
    <w:p>
      <w:pPr>
        <w:snapToGrid w:val="0"/>
        <w:spacing w:line="360" w:lineRule="auto"/>
        <w:jc w:val="center"/>
        <w:rPr>
          <w:rFonts w:ascii="宋体" w:hAnsi="宋体" w:cs="黑体"/>
          <w:b/>
          <w:spacing w:val="170"/>
          <w:kern w:val="0"/>
          <w:sz w:val="72"/>
          <w:szCs w:val="72"/>
        </w:rPr>
      </w:pPr>
      <w:r>
        <w:rPr>
          <w:rFonts w:hint="eastAsia" w:ascii="宋体" w:hAnsi="宋体" w:cs="黑体"/>
          <w:b/>
          <w:spacing w:val="170"/>
          <w:kern w:val="0"/>
          <w:sz w:val="72"/>
          <w:szCs w:val="72"/>
        </w:rPr>
        <w:t>竞争性磋商</w:t>
      </w:r>
    </w:p>
    <w:p>
      <w:pPr>
        <w:snapToGrid w:val="0"/>
        <w:spacing w:line="360" w:lineRule="auto"/>
        <w:jc w:val="center"/>
        <w:rPr>
          <w:rFonts w:ascii="宋体" w:hAnsi="宋体" w:cs="黑体"/>
          <w:b/>
          <w:spacing w:val="170"/>
          <w:kern w:val="0"/>
          <w:sz w:val="72"/>
          <w:szCs w:val="72"/>
        </w:rPr>
      </w:pPr>
      <w:r>
        <w:rPr>
          <w:rFonts w:hint="eastAsia" w:ascii="宋体" w:hAnsi="宋体" w:cs="黑体"/>
          <w:b/>
          <w:spacing w:val="170"/>
          <w:kern w:val="0"/>
          <w:sz w:val="72"/>
          <w:szCs w:val="72"/>
        </w:rPr>
        <w:t>采购</w:t>
      </w:r>
      <w:r>
        <w:rPr>
          <w:rFonts w:hint="eastAsia" w:ascii="宋体" w:hAnsi="宋体"/>
          <w:b/>
          <w:spacing w:val="170"/>
          <w:sz w:val="72"/>
          <w:szCs w:val="72"/>
        </w:rPr>
        <w:t>文件</w:t>
      </w: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both"/>
        <w:rPr>
          <w:rFonts w:ascii="宋体" w:hAnsi="宋体" w:cs="Arial"/>
          <w:b/>
          <w:sz w:val="20"/>
          <w:szCs w:val="21"/>
        </w:rPr>
      </w:pPr>
    </w:p>
    <w:p>
      <w:pPr>
        <w:snapToGrid w:val="0"/>
        <w:spacing w:line="360" w:lineRule="auto"/>
        <w:ind w:firstLine="565" w:firstLineChars="176"/>
        <w:rPr>
          <w:rFonts w:hint="default" w:ascii="宋体" w:hAnsi="宋体" w:eastAsia="宋体" w:cs="Arial"/>
          <w:b/>
          <w:sz w:val="28"/>
          <w:szCs w:val="30"/>
          <w:lang w:val="en-US" w:eastAsia="zh-CN"/>
        </w:rPr>
      </w:pPr>
      <w:r>
        <w:rPr>
          <w:rFonts w:hint="eastAsia" w:ascii="宋体" w:hAnsi="宋体"/>
          <w:b/>
          <w:sz w:val="32"/>
          <w:szCs w:val="32"/>
        </w:rPr>
        <w:t>项目编号：</w:t>
      </w:r>
      <w:r>
        <w:rPr>
          <w:rFonts w:hint="eastAsia" w:ascii="宋体" w:hAnsi="宋体" w:cs="宋体"/>
          <w:b/>
          <w:sz w:val="32"/>
          <w:szCs w:val="32"/>
          <w:lang w:val="en-US" w:eastAsia="zh-CN"/>
        </w:rPr>
        <w:t>JZCG-2024002</w:t>
      </w:r>
    </w:p>
    <w:p>
      <w:pPr>
        <w:adjustRightInd w:val="0"/>
        <w:snapToGrid w:val="0"/>
        <w:spacing w:line="360" w:lineRule="auto"/>
        <w:ind w:left="2173" w:leftChars="270" w:hanging="1606" w:hangingChars="500"/>
        <w:rPr>
          <w:rFonts w:ascii="宋体" w:hAnsi="宋体"/>
          <w:bCs/>
          <w:sz w:val="32"/>
          <w:szCs w:val="32"/>
        </w:rPr>
      </w:pPr>
      <w:r>
        <w:rPr>
          <w:rFonts w:hint="eastAsia" w:ascii="宋体" w:hAnsi="宋体"/>
          <w:b/>
          <w:sz w:val="32"/>
          <w:szCs w:val="32"/>
        </w:rPr>
        <w:t>项目名称：成章卫生院高清电子肠镜配套设备采购项目</w:t>
      </w:r>
    </w:p>
    <w:p>
      <w:pPr>
        <w:adjustRightInd w:val="0"/>
        <w:snapToGrid w:val="0"/>
        <w:spacing w:line="360" w:lineRule="auto"/>
        <w:ind w:left="1913" w:leftChars="270" w:hanging="1346" w:hangingChars="353"/>
        <w:rPr>
          <w:rFonts w:ascii="宋体" w:hAnsi="宋体"/>
          <w:bCs/>
          <w:sz w:val="32"/>
          <w:szCs w:val="32"/>
        </w:rPr>
      </w:pPr>
      <w:r>
        <w:rPr>
          <w:rFonts w:hint="eastAsia" w:ascii="宋体" w:hAnsi="宋体"/>
          <w:b/>
          <w:spacing w:val="30"/>
          <w:sz w:val="32"/>
          <w:szCs w:val="32"/>
        </w:rPr>
        <w:t>采购人</w:t>
      </w:r>
      <w:r>
        <w:rPr>
          <w:rFonts w:hint="eastAsia" w:ascii="宋体" w:hAnsi="宋体"/>
          <w:b/>
          <w:sz w:val="32"/>
          <w:szCs w:val="32"/>
        </w:rPr>
        <w:t>：常州市武进区嘉泽镇成章卫生院</w:t>
      </w:r>
    </w:p>
    <w:p>
      <w:pPr>
        <w:spacing w:line="360" w:lineRule="auto"/>
        <w:ind w:left="1913" w:leftChars="270" w:hanging="1346" w:hangingChars="353"/>
        <w:rPr>
          <w:rFonts w:ascii="宋体" w:hAnsi="宋体"/>
          <w:bCs/>
          <w:sz w:val="32"/>
          <w:szCs w:val="32"/>
        </w:rPr>
      </w:pPr>
      <w:r>
        <w:rPr>
          <w:rFonts w:hint="eastAsia" w:ascii="宋体" w:hAnsi="宋体"/>
          <w:b/>
          <w:spacing w:val="30"/>
          <w:sz w:val="32"/>
          <w:szCs w:val="32"/>
        </w:rPr>
        <w:t>采购代理机构：</w:t>
      </w:r>
      <w:r>
        <w:rPr>
          <w:rFonts w:hint="eastAsia" w:ascii="宋体" w:hAnsi="宋体"/>
          <w:b/>
          <w:sz w:val="32"/>
          <w:szCs w:val="32"/>
        </w:rPr>
        <w:t>常州新禾招投标有限公司</w:t>
      </w: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jc w:val="center"/>
        <w:rPr>
          <w:rFonts w:ascii="宋体" w:hAnsi="宋体" w:cs="宋体"/>
          <w:w w:val="90"/>
          <w:sz w:val="36"/>
          <w:szCs w:val="36"/>
        </w:rPr>
      </w:pPr>
      <w:r>
        <w:rPr>
          <w:rFonts w:hint="eastAsia" w:ascii="宋体" w:hAnsi="宋体" w:cs="宋体"/>
          <w:w w:val="90"/>
          <w:sz w:val="36"/>
          <w:szCs w:val="36"/>
        </w:rPr>
        <w:t>2024年05月</w:t>
      </w:r>
      <w:r>
        <w:rPr>
          <w:rFonts w:ascii="宋体" w:hAnsi="宋体" w:cs="宋体"/>
          <w:w w:val="90"/>
          <w:sz w:val="36"/>
          <w:szCs w:val="36"/>
        </w:rPr>
        <w:br w:type="page"/>
      </w:r>
    </w:p>
    <w:p>
      <w:pPr>
        <w:snapToGrid w:val="0"/>
        <w:spacing w:line="360" w:lineRule="auto"/>
        <w:ind w:firstLine="397"/>
        <w:jc w:val="center"/>
        <w:rPr>
          <w:rFonts w:ascii="宋体" w:hAnsi="宋体" w:cs="黑体"/>
          <w:b/>
          <w:sz w:val="44"/>
          <w:szCs w:val="44"/>
        </w:rPr>
      </w:pPr>
      <w:r>
        <w:rPr>
          <w:rFonts w:hint="eastAsia" w:ascii="宋体" w:hAnsi="宋体" w:cs="黑体"/>
          <w:b/>
          <w:sz w:val="44"/>
          <w:szCs w:val="44"/>
        </w:rPr>
        <w:t>目    录</w:t>
      </w:r>
    </w:p>
    <w:p>
      <w:pPr>
        <w:pStyle w:val="16"/>
        <w:tabs>
          <w:tab w:val="right" w:leader="dot" w:pos="8396"/>
        </w:tabs>
        <w:rPr>
          <w:rFonts w:asciiTheme="minorHAnsi" w:hAnsiTheme="minorHAnsi" w:eastAsiaTheme="minorEastAsia" w:cstheme="minorBidi"/>
          <w:b w:val="0"/>
          <w:bCs w:val="0"/>
          <w:caps w:val="0"/>
          <w:sz w:val="21"/>
          <w:szCs w:val="22"/>
          <w14:ligatures w14:val="standardContextual"/>
        </w:rPr>
      </w:pPr>
      <w:r>
        <w:rPr>
          <w:rStyle w:val="26"/>
          <w:rFonts w:hint="eastAsia" w:ascii="宋体" w:hAnsi="宋体"/>
          <w:color w:val="auto"/>
          <w:sz w:val="30"/>
          <w:szCs w:val="30"/>
        </w:rPr>
        <w:fldChar w:fldCharType="begin"/>
      </w:r>
      <w:r>
        <w:rPr>
          <w:rStyle w:val="26"/>
          <w:rFonts w:hint="eastAsia" w:ascii="宋体" w:hAnsi="宋体"/>
          <w:color w:val="auto"/>
          <w:sz w:val="30"/>
          <w:szCs w:val="30"/>
        </w:rPr>
        <w:instrText xml:space="preserve"> TOC \o "1-1" \h \z \u </w:instrText>
      </w:r>
      <w:r>
        <w:rPr>
          <w:rStyle w:val="26"/>
          <w:rFonts w:hint="eastAsia" w:ascii="宋体" w:hAnsi="宋体"/>
          <w:color w:val="auto"/>
          <w:sz w:val="30"/>
          <w:szCs w:val="30"/>
        </w:rPr>
        <w:fldChar w:fldCharType="separate"/>
      </w:r>
      <w:r>
        <w:fldChar w:fldCharType="begin"/>
      </w:r>
      <w:r>
        <w:instrText xml:space="preserve"> HYPERLINK \l "_Toc165282384" </w:instrText>
      </w:r>
      <w:r>
        <w:fldChar w:fldCharType="separate"/>
      </w:r>
      <w:r>
        <w:rPr>
          <w:rStyle w:val="26"/>
          <w:rFonts w:ascii="宋体" w:hAnsi="宋体"/>
        </w:rPr>
        <w:t>第一章 竞争性</w:t>
      </w:r>
      <w:r>
        <w:rPr>
          <w:rStyle w:val="26"/>
          <w:rFonts w:ascii="宋体" w:hAnsi="宋体" w:cs="宋体"/>
          <w:spacing w:val="2"/>
          <w:lang w:val="zh-CN"/>
        </w:rPr>
        <w:t>磋商</w:t>
      </w:r>
      <w:r>
        <w:rPr>
          <w:rStyle w:val="26"/>
          <w:rFonts w:ascii="宋体" w:hAnsi="宋体"/>
        </w:rPr>
        <w:t>公告</w:t>
      </w:r>
      <w:r>
        <w:tab/>
      </w:r>
      <w:r>
        <w:fldChar w:fldCharType="begin"/>
      </w:r>
      <w:r>
        <w:instrText xml:space="preserve"> PAGEREF _Toc165282384 \h </w:instrText>
      </w:r>
      <w:r>
        <w:fldChar w:fldCharType="separate"/>
      </w:r>
      <w:r>
        <w:t>3</w:t>
      </w:r>
      <w:r>
        <w:fldChar w:fldCharType="end"/>
      </w:r>
      <w:r>
        <w:fldChar w:fldCharType="end"/>
      </w:r>
    </w:p>
    <w:p>
      <w:pPr>
        <w:pStyle w:val="16"/>
        <w:tabs>
          <w:tab w:val="right" w:leader="dot" w:pos="8396"/>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"_Toc165282385" </w:instrText>
      </w:r>
      <w:r>
        <w:fldChar w:fldCharType="separate"/>
      </w:r>
      <w:r>
        <w:rPr>
          <w:rStyle w:val="26"/>
          <w:rFonts w:ascii="宋体" w:hAnsi="宋体"/>
        </w:rPr>
        <w:t>第二章  供应商须知前附表</w:t>
      </w:r>
      <w:r>
        <w:tab/>
      </w:r>
      <w:r>
        <w:fldChar w:fldCharType="begin"/>
      </w:r>
      <w:r>
        <w:instrText xml:space="preserve"> PAGEREF _Toc165282385 \h </w:instrText>
      </w:r>
      <w:r>
        <w:fldChar w:fldCharType="separate"/>
      </w:r>
      <w:r>
        <w:t>7</w:t>
      </w:r>
      <w:r>
        <w:fldChar w:fldCharType="end"/>
      </w:r>
      <w:r>
        <w:fldChar w:fldCharType="end"/>
      </w:r>
    </w:p>
    <w:p>
      <w:pPr>
        <w:pStyle w:val="16"/>
        <w:tabs>
          <w:tab w:val="right" w:leader="dot" w:pos="8396"/>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"_Toc165282386" </w:instrText>
      </w:r>
      <w:r>
        <w:fldChar w:fldCharType="separate"/>
      </w:r>
      <w:r>
        <w:rPr>
          <w:rStyle w:val="26"/>
          <w:rFonts w:ascii="宋体" w:hAnsi="宋体"/>
        </w:rPr>
        <w:t>第三章  供应商须知</w:t>
      </w:r>
      <w:r>
        <w:tab/>
      </w:r>
      <w:r>
        <w:fldChar w:fldCharType="begin"/>
      </w:r>
      <w:r>
        <w:instrText xml:space="preserve"> PAGEREF _Toc165282386 \h </w:instrText>
      </w:r>
      <w:r>
        <w:fldChar w:fldCharType="separate"/>
      </w:r>
      <w:r>
        <w:t>8</w:t>
      </w:r>
      <w:r>
        <w:fldChar w:fldCharType="end"/>
      </w:r>
      <w:r>
        <w:fldChar w:fldCharType="end"/>
      </w:r>
    </w:p>
    <w:p>
      <w:pPr>
        <w:pStyle w:val="16"/>
        <w:tabs>
          <w:tab w:val="right" w:leader="dot" w:pos="8396"/>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"_Toc165282387" </w:instrText>
      </w:r>
      <w:r>
        <w:fldChar w:fldCharType="separate"/>
      </w:r>
      <w:r>
        <w:rPr>
          <w:rStyle w:val="26"/>
          <w:rFonts w:ascii="宋体" w:hAnsi="宋体"/>
        </w:rPr>
        <w:t>一、总则</w:t>
      </w:r>
      <w:r>
        <w:tab/>
      </w:r>
      <w:r>
        <w:fldChar w:fldCharType="begin"/>
      </w:r>
      <w:r>
        <w:instrText xml:space="preserve"> PAGEREF _Toc165282387 \h </w:instrText>
      </w:r>
      <w:r>
        <w:fldChar w:fldCharType="separate"/>
      </w:r>
      <w:r>
        <w:t>8</w:t>
      </w:r>
      <w:r>
        <w:fldChar w:fldCharType="end"/>
      </w:r>
      <w:r>
        <w:fldChar w:fldCharType="end"/>
      </w:r>
    </w:p>
    <w:p>
      <w:pPr>
        <w:pStyle w:val="16"/>
        <w:tabs>
          <w:tab w:val="right" w:leader="dot" w:pos="8396"/>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"_Toc165282388" </w:instrText>
      </w:r>
      <w:r>
        <w:fldChar w:fldCharType="separate"/>
      </w:r>
      <w:r>
        <w:rPr>
          <w:rStyle w:val="26"/>
          <w:rFonts w:ascii="宋体" w:hAnsi="宋体"/>
        </w:rPr>
        <w:t>二、磋商文件</w:t>
      </w:r>
      <w:r>
        <w:tab/>
      </w:r>
      <w:r>
        <w:fldChar w:fldCharType="begin"/>
      </w:r>
      <w:r>
        <w:instrText xml:space="preserve"> PAGEREF _Toc165282388 \h </w:instrText>
      </w:r>
      <w:r>
        <w:fldChar w:fldCharType="separate"/>
      </w:r>
      <w:r>
        <w:t>8</w:t>
      </w:r>
      <w:r>
        <w:fldChar w:fldCharType="end"/>
      </w:r>
      <w:r>
        <w:fldChar w:fldCharType="end"/>
      </w:r>
    </w:p>
    <w:p>
      <w:pPr>
        <w:pStyle w:val="16"/>
        <w:tabs>
          <w:tab w:val="right" w:leader="dot" w:pos="8396"/>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"_Toc165282389" </w:instrText>
      </w:r>
      <w:r>
        <w:fldChar w:fldCharType="separate"/>
      </w:r>
      <w:r>
        <w:rPr>
          <w:rStyle w:val="26"/>
          <w:rFonts w:ascii="宋体" w:hAnsi="宋体"/>
        </w:rPr>
        <w:t>三、响应文件的编制与递交</w:t>
      </w:r>
      <w:r>
        <w:tab/>
      </w:r>
      <w:r>
        <w:fldChar w:fldCharType="begin"/>
      </w:r>
      <w:r>
        <w:instrText xml:space="preserve"> PAGEREF _Toc165282389 \h </w:instrText>
      </w:r>
      <w:r>
        <w:fldChar w:fldCharType="separate"/>
      </w:r>
      <w:r>
        <w:t>9</w:t>
      </w:r>
      <w:r>
        <w:fldChar w:fldCharType="end"/>
      </w:r>
      <w:r>
        <w:fldChar w:fldCharType="end"/>
      </w:r>
    </w:p>
    <w:p>
      <w:pPr>
        <w:pStyle w:val="16"/>
        <w:tabs>
          <w:tab w:val="right" w:leader="dot" w:pos="8396"/>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"_Toc165282390" </w:instrText>
      </w:r>
      <w:r>
        <w:fldChar w:fldCharType="separate"/>
      </w:r>
      <w:r>
        <w:rPr>
          <w:rStyle w:val="26"/>
          <w:rFonts w:ascii="宋体" w:hAnsi="宋体"/>
        </w:rPr>
        <w:t>四、响应文件的递交与评审</w:t>
      </w:r>
      <w:r>
        <w:tab/>
      </w:r>
      <w:r>
        <w:fldChar w:fldCharType="begin"/>
      </w:r>
      <w:r>
        <w:instrText xml:space="preserve"> PAGEREF _Toc165282390 \h </w:instrText>
      </w:r>
      <w:r>
        <w:fldChar w:fldCharType="separate"/>
      </w:r>
      <w:r>
        <w:t>11</w:t>
      </w:r>
      <w:r>
        <w:fldChar w:fldCharType="end"/>
      </w:r>
      <w:r>
        <w:fldChar w:fldCharType="end"/>
      </w:r>
    </w:p>
    <w:p>
      <w:pPr>
        <w:pStyle w:val="16"/>
        <w:tabs>
          <w:tab w:val="right" w:leader="dot" w:pos="8396"/>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"_Toc165282391" </w:instrText>
      </w:r>
      <w:r>
        <w:fldChar w:fldCharType="separate"/>
      </w:r>
      <w:r>
        <w:rPr>
          <w:rStyle w:val="26"/>
          <w:rFonts w:ascii="宋体" w:hAnsi="宋体"/>
        </w:rPr>
        <w:t>五、确定成交</w:t>
      </w:r>
      <w:r>
        <w:tab/>
      </w:r>
      <w:r>
        <w:fldChar w:fldCharType="begin"/>
      </w:r>
      <w:r>
        <w:instrText xml:space="preserve"> PAGEREF _Toc165282391 \h </w:instrText>
      </w:r>
      <w:r>
        <w:fldChar w:fldCharType="separate"/>
      </w:r>
      <w:r>
        <w:t>14</w:t>
      </w:r>
      <w:r>
        <w:fldChar w:fldCharType="end"/>
      </w:r>
      <w:r>
        <w:fldChar w:fldCharType="end"/>
      </w:r>
    </w:p>
    <w:p>
      <w:pPr>
        <w:pStyle w:val="16"/>
        <w:tabs>
          <w:tab w:val="right" w:leader="dot" w:pos="8396"/>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"_Toc165282392" </w:instrText>
      </w:r>
      <w:r>
        <w:fldChar w:fldCharType="separate"/>
      </w:r>
      <w:r>
        <w:rPr>
          <w:rStyle w:val="26"/>
          <w:rFonts w:ascii="宋体" w:hAnsi="宋体"/>
        </w:rPr>
        <w:t>六、质疑</w:t>
      </w:r>
      <w:r>
        <w:tab/>
      </w:r>
      <w:r>
        <w:fldChar w:fldCharType="begin"/>
      </w:r>
      <w:r>
        <w:instrText xml:space="preserve"> PAGEREF _Toc165282392 \h </w:instrText>
      </w:r>
      <w:r>
        <w:fldChar w:fldCharType="separate"/>
      </w:r>
      <w:r>
        <w:t>16</w:t>
      </w:r>
      <w:r>
        <w:fldChar w:fldCharType="end"/>
      </w:r>
      <w:r>
        <w:fldChar w:fldCharType="end"/>
      </w:r>
    </w:p>
    <w:p>
      <w:pPr>
        <w:pStyle w:val="16"/>
        <w:tabs>
          <w:tab w:val="right" w:leader="dot" w:pos="8396"/>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"_Toc165282393" </w:instrText>
      </w:r>
      <w:r>
        <w:fldChar w:fldCharType="separate"/>
      </w:r>
      <w:r>
        <w:rPr>
          <w:rStyle w:val="26"/>
          <w:rFonts w:ascii="宋体" w:hAnsi="宋体"/>
        </w:rPr>
        <w:t>七、采购代理服务费</w:t>
      </w:r>
      <w:r>
        <w:tab/>
      </w:r>
      <w:r>
        <w:fldChar w:fldCharType="begin"/>
      </w:r>
      <w:r>
        <w:instrText xml:space="preserve"> PAGEREF _Toc165282393 \h </w:instrText>
      </w:r>
      <w:r>
        <w:fldChar w:fldCharType="separate"/>
      </w:r>
      <w:r>
        <w:t>17</w:t>
      </w:r>
      <w:r>
        <w:fldChar w:fldCharType="end"/>
      </w:r>
      <w:r>
        <w:fldChar w:fldCharType="end"/>
      </w:r>
    </w:p>
    <w:p>
      <w:pPr>
        <w:pStyle w:val="16"/>
        <w:tabs>
          <w:tab w:val="right" w:leader="dot" w:pos="8396"/>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"_Toc165282394" </w:instrText>
      </w:r>
      <w:r>
        <w:fldChar w:fldCharType="separate"/>
      </w:r>
      <w:r>
        <w:rPr>
          <w:rStyle w:val="26"/>
          <w:rFonts w:ascii="宋体" w:hAnsi="宋体"/>
        </w:rPr>
        <w:t>第四章 项目要求和有关说明</w:t>
      </w:r>
      <w:r>
        <w:tab/>
      </w:r>
      <w:r>
        <w:fldChar w:fldCharType="begin"/>
      </w:r>
      <w:r>
        <w:instrText xml:space="preserve"> PAGEREF _Toc165282394 \h </w:instrText>
      </w:r>
      <w:r>
        <w:fldChar w:fldCharType="separate"/>
      </w:r>
      <w:r>
        <w:t>18</w:t>
      </w:r>
      <w:r>
        <w:fldChar w:fldCharType="end"/>
      </w:r>
      <w:r>
        <w:fldChar w:fldCharType="end"/>
      </w:r>
    </w:p>
    <w:p>
      <w:pPr>
        <w:pStyle w:val="16"/>
        <w:tabs>
          <w:tab w:val="right" w:leader="dot" w:pos="8396"/>
        </w:tabs>
        <w:rPr>
          <w:rFonts w:asciiTheme="minorHAnsi" w:hAnsiTheme="minorHAnsi" w:cstheme="minorBidi"/>
          <w:b w:val="0"/>
          <w:bCs w:val="0"/>
          <w:caps w:val="0"/>
          <w:sz w:val="21"/>
          <w:szCs w:val="22"/>
          <w14:ligatures w14:val="standardContextual"/>
        </w:rPr>
      </w:pPr>
      <w:r>
        <w:fldChar w:fldCharType="begin"/>
      </w:r>
      <w:r>
        <w:instrText xml:space="preserve"> HYPERLINK \l "_Toc165282395" </w:instrText>
      </w:r>
      <w:r>
        <w:fldChar w:fldCharType="separate"/>
      </w:r>
      <w:r>
        <w:rPr>
          <w:rStyle w:val="26"/>
          <w:rFonts w:ascii="宋体" w:hAnsi="宋体"/>
        </w:rPr>
        <w:t>第五章 评标方法和评标标准</w:t>
      </w:r>
      <w:r>
        <w:tab/>
      </w:r>
      <w:r>
        <w:rPr>
          <w:rFonts w:hint="eastAsia"/>
        </w:rPr>
        <w:t>3</w:t>
      </w:r>
      <w:r>
        <w:rPr>
          <w:rFonts w:hint="eastAsia"/>
        </w:rPr>
        <w:fldChar w:fldCharType="end"/>
      </w:r>
      <w:r>
        <w:rPr>
          <w:rFonts w:hint="eastAsia"/>
        </w:rPr>
        <w:t>0</w:t>
      </w:r>
    </w:p>
    <w:p>
      <w:pPr>
        <w:pStyle w:val="16"/>
        <w:tabs>
          <w:tab w:val="right" w:leader="dot" w:pos="8396"/>
        </w:tabs>
        <w:rPr>
          <w:rFonts w:asciiTheme="minorHAnsi" w:hAnsiTheme="minorHAnsi" w:cstheme="minorBidi"/>
          <w:b w:val="0"/>
          <w:bCs w:val="0"/>
          <w:caps w:val="0"/>
          <w:sz w:val="21"/>
          <w:szCs w:val="22"/>
          <w14:ligatures w14:val="standardContextual"/>
        </w:rPr>
      </w:pPr>
      <w:r>
        <w:fldChar w:fldCharType="begin"/>
      </w:r>
      <w:r>
        <w:instrText xml:space="preserve"> HYPERLINK \l "_Toc165282396" </w:instrText>
      </w:r>
      <w:r>
        <w:fldChar w:fldCharType="separate"/>
      </w:r>
      <w:r>
        <w:rPr>
          <w:rStyle w:val="26"/>
          <w:rFonts w:ascii="宋体" w:hAnsi="宋体"/>
        </w:rPr>
        <w:t>第六章 采购合同（格式）</w:t>
      </w:r>
      <w:r>
        <w:tab/>
      </w:r>
      <w:r>
        <w:rPr>
          <w:rFonts w:hint="eastAsia"/>
        </w:rPr>
        <w:t>3</w:t>
      </w:r>
      <w:r>
        <w:rPr>
          <w:rFonts w:hint="eastAsia"/>
        </w:rPr>
        <w:fldChar w:fldCharType="end"/>
      </w:r>
      <w:r>
        <w:rPr>
          <w:rFonts w:hint="eastAsia"/>
        </w:rPr>
        <w:t>4</w:t>
      </w:r>
    </w:p>
    <w:p>
      <w:pPr>
        <w:pStyle w:val="16"/>
        <w:tabs>
          <w:tab w:val="right" w:leader="dot" w:pos="8396"/>
        </w:tabs>
        <w:rPr>
          <w:rFonts w:asciiTheme="minorHAnsi" w:hAnsiTheme="minorHAnsi" w:cstheme="minorBidi"/>
          <w:b w:val="0"/>
          <w:bCs w:val="0"/>
          <w:caps w:val="0"/>
          <w:sz w:val="21"/>
          <w:szCs w:val="22"/>
          <w14:ligatures w14:val="standardContextual"/>
        </w:rPr>
      </w:pPr>
      <w:r>
        <w:fldChar w:fldCharType="begin"/>
      </w:r>
      <w:r>
        <w:instrText xml:space="preserve"> HYPERLINK \l "_Toc165282397" </w:instrText>
      </w:r>
      <w:r>
        <w:fldChar w:fldCharType="separate"/>
      </w:r>
      <w:r>
        <w:rPr>
          <w:rStyle w:val="26"/>
          <w:rFonts w:ascii="宋体" w:hAnsi="宋体"/>
        </w:rPr>
        <w:t>第七章 响应文件的组成</w:t>
      </w:r>
      <w:r>
        <w:tab/>
      </w:r>
      <w:r>
        <w:rPr>
          <w:rFonts w:hint="eastAsia"/>
        </w:rPr>
        <w:t>3</w:t>
      </w:r>
      <w:r>
        <w:rPr>
          <w:rFonts w:hint="eastAsia"/>
        </w:rPr>
        <w:fldChar w:fldCharType="end"/>
      </w:r>
      <w:r>
        <w:rPr>
          <w:rFonts w:hint="eastAsia"/>
        </w:rPr>
        <w:t>7</w:t>
      </w:r>
    </w:p>
    <w:p>
      <w:pPr>
        <w:pStyle w:val="16"/>
        <w:tabs>
          <w:tab w:val="right" w:leader="dot" w:pos="8396"/>
        </w:tabs>
        <w:rPr>
          <w:rFonts w:asciiTheme="minorHAnsi" w:hAnsiTheme="minorHAnsi" w:cstheme="minorBidi"/>
          <w:b w:val="0"/>
          <w:bCs w:val="0"/>
          <w:caps w:val="0"/>
          <w:sz w:val="21"/>
          <w:szCs w:val="22"/>
          <w14:ligatures w14:val="standardContextual"/>
        </w:rPr>
      </w:pPr>
      <w:r>
        <w:fldChar w:fldCharType="begin"/>
      </w:r>
      <w:r>
        <w:instrText xml:space="preserve"> HYPERLINK \l "_Toc165282398" </w:instrText>
      </w:r>
      <w:r>
        <w:fldChar w:fldCharType="separate"/>
      </w:r>
      <w:r>
        <w:rPr>
          <w:rStyle w:val="26"/>
          <w:rFonts w:ascii="宋体" w:hAnsi="宋体"/>
        </w:rPr>
        <w:t>第八章　响应文件的格式</w:t>
      </w:r>
      <w:r>
        <w:tab/>
      </w:r>
      <w:r>
        <w:rPr>
          <w:rFonts w:hint="eastAsia"/>
        </w:rPr>
        <w:t>3</w:t>
      </w:r>
      <w:r>
        <w:rPr>
          <w:rFonts w:hint="eastAsia"/>
        </w:rPr>
        <w:fldChar w:fldCharType="end"/>
      </w:r>
      <w:r>
        <w:rPr>
          <w:rFonts w:hint="eastAsia"/>
        </w:rPr>
        <w:t>8</w:t>
      </w:r>
    </w:p>
    <w:p>
      <w:pPr>
        <w:adjustRightInd w:val="0"/>
        <w:snapToGrid w:val="0"/>
        <w:spacing w:line="360" w:lineRule="auto"/>
        <w:ind w:firstLine="602" w:firstLineChars="200"/>
        <w:rPr>
          <w:rFonts w:ascii="宋体" w:hAnsi="宋体"/>
          <w:sz w:val="20"/>
          <w:szCs w:val="21"/>
        </w:rPr>
        <w:sectPr>
          <w:footerReference r:id="rId3" w:type="default"/>
          <w:pgSz w:w="11906" w:h="16838"/>
          <w:pgMar w:top="1440" w:right="1700" w:bottom="1440" w:left="1800" w:header="851" w:footer="992" w:gutter="0"/>
          <w:pgNumType w:start="1"/>
          <w:cols w:space="720" w:num="1"/>
          <w:docGrid w:type="lines" w:linePitch="312" w:charSpace="0"/>
        </w:sectPr>
      </w:pPr>
      <w:r>
        <w:rPr>
          <w:rStyle w:val="26"/>
          <w:rFonts w:hint="eastAsia" w:ascii="宋体" w:hAnsi="宋体"/>
          <w:b/>
          <w:caps/>
          <w:color w:val="auto"/>
          <w:sz w:val="30"/>
          <w:szCs w:val="30"/>
        </w:rPr>
        <w:fldChar w:fldCharType="end"/>
      </w:r>
    </w:p>
    <w:p>
      <w:pPr>
        <w:pStyle w:val="20"/>
        <w:spacing w:line="360" w:lineRule="auto"/>
        <w:rPr>
          <w:rFonts w:ascii="宋体" w:hAnsi="宋体"/>
          <w:sz w:val="28"/>
          <w:szCs w:val="28"/>
        </w:rPr>
      </w:pPr>
      <w:bookmarkStart w:id="2" w:name="_Hlk46453676"/>
      <w:bookmarkStart w:id="3" w:name="_Toc165282384"/>
      <w:bookmarkStart w:id="4" w:name="_Toc288738792"/>
      <w:bookmarkStart w:id="5" w:name="_Hlk47487953"/>
      <w:bookmarkStart w:id="6" w:name="_Toc288738324"/>
      <w:r>
        <w:rPr>
          <w:rFonts w:hint="eastAsia" w:ascii="宋体" w:hAnsi="宋体"/>
          <w:sz w:val="28"/>
          <w:szCs w:val="28"/>
        </w:rPr>
        <w:t xml:space="preserve">第一章 </w:t>
      </w:r>
      <w:bookmarkStart w:id="7" w:name="_Hlk99537314"/>
      <w:bookmarkStart w:id="8" w:name="_Hlk131517310"/>
      <w:r>
        <w:rPr>
          <w:rFonts w:ascii="宋体" w:hAnsi="宋体"/>
          <w:sz w:val="28"/>
          <w:szCs w:val="28"/>
        </w:rPr>
        <w:t>竞争性</w:t>
      </w:r>
      <w:r>
        <w:rPr>
          <w:rFonts w:hint="eastAsia" w:ascii="宋体" w:hAnsi="宋体" w:cs="宋体"/>
          <w:spacing w:val="2"/>
          <w:sz w:val="28"/>
          <w:szCs w:val="20"/>
          <w:lang w:val="zh-CN"/>
        </w:rPr>
        <w:t>磋商</w:t>
      </w:r>
      <w:r>
        <w:rPr>
          <w:rFonts w:hint="eastAsia" w:ascii="宋体" w:hAnsi="宋体"/>
          <w:sz w:val="28"/>
          <w:szCs w:val="28"/>
        </w:rPr>
        <w:t>公告</w:t>
      </w:r>
      <w:bookmarkEnd w:id="2"/>
      <w:bookmarkEnd w:id="3"/>
    </w:p>
    <w:p>
      <w:pPr>
        <w:spacing w:line="360" w:lineRule="auto"/>
        <w:rPr>
          <w:rFonts w:ascii="宋体" w:hAnsi="宋体"/>
          <w:sz w:val="24"/>
        </w:rPr>
      </w:pPr>
      <w:bookmarkStart w:id="9" w:name="OLE_LINK1"/>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740" w:type="dxa"/>
          </w:tcPr>
          <w:p>
            <w:pPr>
              <w:spacing w:line="360" w:lineRule="auto"/>
              <w:jc w:val="center"/>
              <w:rPr>
                <w:rFonts w:ascii="宋体" w:hAnsi="宋体"/>
                <w:b/>
                <w:bCs/>
                <w:sz w:val="24"/>
              </w:rPr>
            </w:pPr>
            <w:r>
              <w:rPr>
                <w:rFonts w:hint="eastAsia" w:ascii="宋体" w:hAnsi="宋体"/>
                <w:b/>
                <w:bCs/>
                <w:sz w:val="24"/>
              </w:rPr>
              <w:t>项目概况</w:t>
            </w:r>
          </w:p>
          <w:p>
            <w:pPr>
              <w:spacing w:line="360" w:lineRule="auto"/>
              <w:ind w:firstLine="482" w:firstLineChars="200"/>
              <w:rPr>
                <w:rFonts w:ascii="宋体" w:hAnsi="宋体"/>
                <w:sz w:val="24"/>
              </w:rPr>
            </w:pPr>
            <w:bookmarkStart w:id="10" w:name="_Hlk47568671"/>
            <w:r>
              <w:rPr>
                <w:rFonts w:hint="eastAsia" w:ascii="宋体" w:hAnsi="宋体"/>
                <w:b/>
                <w:bCs/>
                <w:sz w:val="24"/>
                <w:lang w:val="zh-CN"/>
              </w:rPr>
              <w:t>成章卫生院高清电子肠镜配套设备采购项目</w:t>
            </w:r>
            <w:r>
              <w:rPr>
                <w:rFonts w:ascii="宋体" w:hAnsi="宋体"/>
                <w:sz w:val="24"/>
              </w:rPr>
              <w:t>的潜在</w:t>
            </w:r>
            <w:r>
              <w:rPr>
                <w:rFonts w:hint="eastAsia" w:ascii="宋体" w:hAnsi="宋体"/>
                <w:sz w:val="24"/>
              </w:rPr>
              <w:t>供应商</w:t>
            </w:r>
            <w:r>
              <w:rPr>
                <w:rFonts w:ascii="宋体" w:hAnsi="宋体"/>
                <w:sz w:val="24"/>
              </w:rPr>
              <w:t>应在</w:t>
            </w:r>
            <w:r>
              <w:rPr>
                <w:rFonts w:hint="eastAsia" w:ascii="宋体" w:hAnsi="宋体"/>
                <w:b/>
                <w:bCs/>
                <w:sz w:val="24"/>
              </w:rPr>
              <w:t>常州新禾招投标有限公司</w:t>
            </w:r>
            <w:r>
              <w:rPr>
                <w:rFonts w:ascii="宋体" w:hAnsi="宋体"/>
                <w:sz w:val="24"/>
              </w:rPr>
              <w:t>获取</w:t>
            </w:r>
            <w:r>
              <w:rPr>
                <w:rFonts w:hint="eastAsia" w:ascii="宋体" w:hAnsi="宋体"/>
                <w:sz w:val="24"/>
              </w:rPr>
              <w:t>采购</w:t>
            </w:r>
            <w:r>
              <w:rPr>
                <w:rFonts w:ascii="宋体" w:hAnsi="宋体"/>
                <w:sz w:val="24"/>
              </w:rPr>
              <w:t>文件，并于</w:t>
            </w:r>
            <w:r>
              <w:rPr>
                <w:rFonts w:hint="eastAsia" w:ascii="宋体" w:hAnsi="宋体"/>
                <w:b/>
                <w:bCs/>
                <w:sz w:val="24"/>
              </w:rPr>
              <w:t>20</w:t>
            </w:r>
            <w:r>
              <w:rPr>
                <w:rFonts w:ascii="宋体" w:hAnsi="宋体"/>
                <w:b/>
                <w:bCs/>
                <w:sz w:val="24"/>
              </w:rPr>
              <w:t>24</w:t>
            </w:r>
            <w:r>
              <w:rPr>
                <w:rFonts w:hint="eastAsia" w:ascii="宋体" w:hAnsi="宋体"/>
                <w:b/>
                <w:bCs/>
                <w:sz w:val="24"/>
              </w:rPr>
              <w:t xml:space="preserve">年 </w:t>
            </w:r>
            <w:r>
              <w:rPr>
                <w:rFonts w:ascii="宋体" w:hAnsi="宋体"/>
                <w:b/>
                <w:bCs/>
                <w:sz w:val="24"/>
              </w:rPr>
              <w:t xml:space="preserve">5 </w:t>
            </w:r>
            <w:r>
              <w:rPr>
                <w:rFonts w:hint="eastAsia" w:ascii="宋体" w:hAnsi="宋体"/>
                <w:b/>
                <w:bCs/>
                <w:sz w:val="24"/>
              </w:rPr>
              <w:t>月2</w:t>
            </w:r>
            <w:r>
              <w:rPr>
                <w:rFonts w:hint="eastAsia" w:ascii="宋体" w:hAnsi="宋体"/>
                <w:b/>
                <w:bCs/>
                <w:sz w:val="24"/>
                <w:lang w:val="en-US" w:eastAsia="zh-CN"/>
              </w:rPr>
              <w:t>7</w:t>
            </w:r>
            <w:r>
              <w:rPr>
                <w:rFonts w:hint="eastAsia" w:ascii="宋体" w:hAnsi="宋体"/>
                <w:b/>
                <w:bCs/>
                <w:sz w:val="24"/>
              </w:rPr>
              <w:t>日</w:t>
            </w:r>
            <w:r>
              <w:rPr>
                <w:rFonts w:ascii="宋体" w:hAnsi="宋体"/>
                <w:b/>
                <w:bCs/>
                <w:sz w:val="24"/>
              </w:rPr>
              <w:t>14</w:t>
            </w:r>
            <w:r>
              <w:rPr>
                <w:rFonts w:hint="eastAsia" w:ascii="宋体" w:hAnsi="宋体"/>
                <w:b/>
                <w:bCs/>
                <w:sz w:val="24"/>
              </w:rPr>
              <w:t>时</w:t>
            </w:r>
            <w:r>
              <w:rPr>
                <w:rFonts w:ascii="宋体" w:hAnsi="宋体"/>
                <w:b/>
                <w:bCs/>
                <w:sz w:val="24"/>
              </w:rPr>
              <w:t>00</w:t>
            </w:r>
            <w:r>
              <w:rPr>
                <w:rFonts w:hint="eastAsia" w:ascii="宋体" w:hAnsi="宋体"/>
                <w:b/>
                <w:bCs/>
                <w:sz w:val="24"/>
              </w:rPr>
              <w:t>分</w:t>
            </w:r>
            <w:r>
              <w:rPr>
                <w:rFonts w:ascii="宋体" w:hAnsi="宋体"/>
                <w:sz w:val="24"/>
              </w:rPr>
              <w:t>（北京时间）前递交</w:t>
            </w:r>
            <w:r>
              <w:rPr>
                <w:rFonts w:hint="eastAsia" w:ascii="宋体" w:hAnsi="宋体"/>
                <w:sz w:val="24"/>
              </w:rPr>
              <w:t>响应</w:t>
            </w:r>
            <w:r>
              <w:rPr>
                <w:rFonts w:ascii="宋体" w:hAnsi="宋体"/>
                <w:sz w:val="24"/>
              </w:rPr>
              <w:t>文件。</w:t>
            </w:r>
            <w:bookmarkEnd w:id="10"/>
          </w:p>
        </w:tc>
      </w:tr>
    </w:tbl>
    <w:p>
      <w:pPr>
        <w:snapToGrid w:val="0"/>
        <w:spacing w:line="360" w:lineRule="auto"/>
        <w:ind w:firstLine="482" w:firstLineChars="200"/>
        <w:rPr>
          <w:rFonts w:ascii="宋体" w:hAnsi="宋体"/>
          <w:b/>
          <w:bCs/>
          <w:sz w:val="24"/>
        </w:rPr>
      </w:pPr>
      <w:r>
        <w:rPr>
          <w:rFonts w:hint="eastAsia" w:ascii="宋体" w:hAnsi="宋体"/>
          <w:b/>
          <w:bCs/>
          <w:sz w:val="24"/>
        </w:rPr>
        <w:t>一、项目基本情况</w:t>
      </w:r>
    </w:p>
    <w:p>
      <w:pPr>
        <w:snapToGrid w:val="0"/>
        <w:spacing w:line="360" w:lineRule="auto"/>
        <w:ind w:firstLine="480" w:firstLineChars="200"/>
        <w:rPr>
          <w:rFonts w:ascii="宋体" w:hAnsi="宋体"/>
          <w:sz w:val="24"/>
        </w:rPr>
      </w:pPr>
      <w:r>
        <w:rPr>
          <w:rFonts w:hint="eastAsia" w:ascii="宋体" w:hAnsi="宋体"/>
          <w:sz w:val="24"/>
        </w:rPr>
        <w:t>1.项目编号：</w:t>
      </w:r>
      <w:r>
        <w:rPr>
          <w:rFonts w:hint="eastAsia" w:ascii="宋体" w:hAnsi="宋体"/>
          <w:sz w:val="24"/>
          <w:lang w:val="en-US" w:eastAsia="zh-CN"/>
        </w:rPr>
        <w:t>JZCG-2024002</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.项目名称：</w:t>
      </w:r>
      <w:r>
        <w:rPr>
          <w:rFonts w:hint="eastAsia" w:ascii="宋体" w:hAnsi="宋体"/>
          <w:sz w:val="24"/>
          <w:lang w:val="zh-CN"/>
        </w:rPr>
        <w:t>成章卫生院高清电子肠镜配套设备采购项目</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.采购方式：</w:t>
      </w:r>
      <w:r>
        <w:rPr>
          <w:rFonts w:ascii="宋体" w:hAnsi="宋体"/>
          <w:sz w:val="24"/>
        </w:rPr>
        <w:t>竞争性</w:t>
      </w:r>
      <w:r>
        <w:rPr>
          <w:rFonts w:hint="eastAsia" w:ascii="宋体" w:hAnsi="宋体"/>
          <w:sz w:val="24"/>
        </w:rPr>
        <w:t>磋商</w:t>
      </w:r>
    </w:p>
    <w:p>
      <w:pPr>
        <w:snapToGrid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.预算金额：人民币45.8</w:t>
      </w:r>
      <w:r>
        <w:rPr>
          <w:rFonts w:ascii="宋体" w:hAnsi="宋体"/>
          <w:sz w:val="24"/>
        </w:rPr>
        <w:t>万元</w:t>
      </w:r>
    </w:p>
    <w:p>
      <w:pPr>
        <w:snapToGrid w:val="0"/>
        <w:spacing w:line="360" w:lineRule="auto"/>
        <w:ind w:firstLine="480" w:firstLineChars="200"/>
        <w:jc w:val="left"/>
        <w:rPr>
          <w:rFonts w:ascii="宋体" w:hAnsi="宋体"/>
          <w:sz w:val="24"/>
        </w:rPr>
      </w:pPr>
      <w:r>
        <w:rPr>
          <w:rFonts w:hint="eastAsia" w:ascii="宋体" w:hAnsi="宋体"/>
          <w:sz w:val="24"/>
        </w:rPr>
        <w:t>5.最高限价：人民币45.8</w:t>
      </w:r>
      <w:r>
        <w:rPr>
          <w:rFonts w:ascii="宋体" w:hAnsi="宋体"/>
          <w:sz w:val="24"/>
        </w:rPr>
        <w:t>万元</w:t>
      </w:r>
    </w:p>
    <w:p>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.采购需求：</w:t>
      </w:r>
      <w:bookmarkStart w:id="11" w:name="_Hlk51720402"/>
      <w:r>
        <w:rPr>
          <w:rFonts w:hint="eastAsia" w:ascii="宋体" w:hAnsi="宋体"/>
          <w:sz w:val="24"/>
        </w:rPr>
        <w:t>成章卫生院高清电子肠镜配套设备采购项目，详见谈判文件。</w:t>
      </w:r>
    </w:p>
    <w:p>
      <w:pPr>
        <w:snapToGrid w:val="0"/>
        <w:spacing w:line="360" w:lineRule="auto"/>
        <w:ind w:firstLine="480" w:firstLineChars="200"/>
        <w:jc w:val="left"/>
        <w:rPr>
          <w:rFonts w:ascii="宋体" w:hAnsi="宋体"/>
          <w:sz w:val="24"/>
        </w:rPr>
      </w:pPr>
      <w:r>
        <w:rPr>
          <w:rFonts w:hint="eastAsia" w:ascii="宋体" w:hAnsi="宋体"/>
          <w:sz w:val="24"/>
        </w:rPr>
        <w:t>7.</w:t>
      </w:r>
      <w:bookmarkEnd w:id="11"/>
      <w:r>
        <w:rPr>
          <w:rFonts w:hint="eastAsia" w:ascii="宋体" w:hAnsi="宋体" w:cs="宋体"/>
          <w:sz w:val="24"/>
        </w:rPr>
        <w:t>质保期:免费质保1年</w:t>
      </w:r>
    </w:p>
    <w:p>
      <w:pPr>
        <w:snapToGrid w:val="0"/>
        <w:spacing w:line="360" w:lineRule="auto"/>
        <w:ind w:firstLine="480" w:firstLineChars="200"/>
        <w:jc w:val="left"/>
        <w:rPr>
          <w:rFonts w:ascii="宋体" w:hAnsi="宋体"/>
          <w:sz w:val="24"/>
        </w:rPr>
      </w:pPr>
      <w:r>
        <w:rPr>
          <w:rFonts w:ascii="宋体" w:hAnsi="宋体"/>
          <w:sz w:val="24"/>
        </w:rPr>
        <w:t>8</w:t>
      </w:r>
      <w:r>
        <w:rPr>
          <w:rFonts w:hint="eastAsia" w:ascii="宋体" w:hAnsi="宋体"/>
          <w:sz w:val="24"/>
        </w:rPr>
        <w:t>.本项目不接受联合体投标。</w:t>
      </w:r>
    </w:p>
    <w:p>
      <w:pPr>
        <w:snapToGrid w:val="0"/>
        <w:spacing w:line="360" w:lineRule="auto"/>
        <w:ind w:firstLine="480" w:firstLineChars="200"/>
        <w:jc w:val="left"/>
        <w:rPr>
          <w:rFonts w:ascii="宋体" w:hAnsi="宋体"/>
          <w:sz w:val="24"/>
        </w:rPr>
      </w:pPr>
      <w:r>
        <w:rPr>
          <w:rFonts w:hint="eastAsia" w:ascii="宋体" w:hAnsi="宋体"/>
          <w:sz w:val="24"/>
        </w:rPr>
        <w:t>9.本项目为非政府采购项目，采购活动相关要求以本项目采购公告、采购文件要求为准。</w:t>
      </w:r>
    </w:p>
    <w:p>
      <w:pPr>
        <w:snapToGrid w:val="0"/>
        <w:spacing w:line="360" w:lineRule="auto"/>
        <w:ind w:firstLine="482" w:firstLineChars="200"/>
        <w:rPr>
          <w:rFonts w:ascii="宋体" w:hAnsi="宋体"/>
          <w:b/>
          <w:bCs/>
          <w:sz w:val="24"/>
        </w:rPr>
      </w:pPr>
      <w:r>
        <w:rPr>
          <w:rFonts w:hint="eastAsia" w:ascii="宋体" w:hAnsi="宋体"/>
          <w:b/>
          <w:bCs/>
          <w:sz w:val="24"/>
        </w:rPr>
        <w:t>二、申请人的资格要求：</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、具有独立承担民事责任的能力；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2、具有良好的商业信誉和健全的财务会计制度；</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3、具有履行合同所必需的设备和专业技术能力；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4、有依法缴纳税收和社会保障资金的良好记录；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5、参加采购活动前三年内，在经营活动中没有重大违法记录；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6、供应商未被列入失信被执行人、重大税收违法案件当事人等名单；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7、未被“信用中国”网站（www.creditchina.gov.cn）列入失信被执行人、重大税收违法案件当事人名单、政府采购严重失信行为记录名单；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8、单位负责人为同一人或者存在直接控股、管理关系的不同供应商（包含法定代表人为同一个人的两个及两个以上法人，母公司、全资子公司及其控股公司），不得参加同一合同项下的采购活动。</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9、其他特定资格要求：无</w:t>
      </w:r>
    </w:p>
    <w:p>
      <w:pPr>
        <w:snapToGrid w:val="0"/>
        <w:spacing w:line="360" w:lineRule="auto"/>
        <w:ind w:firstLine="482" w:firstLineChars="200"/>
        <w:rPr>
          <w:rFonts w:ascii="宋体" w:hAnsi="宋体"/>
          <w:b/>
          <w:bCs/>
          <w:sz w:val="24"/>
        </w:rPr>
      </w:pPr>
      <w:r>
        <w:rPr>
          <w:rFonts w:hint="eastAsia" w:ascii="宋体" w:hAnsi="宋体"/>
          <w:b/>
          <w:bCs/>
          <w:sz w:val="24"/>
        </w:rPr>
        <w:t>三、获取采购文件</w:t>
      </w:r>
    </w:p>
    <w:p>
      <w:pPr>
        <w:snapToGrid w:val="0"/>
        <w:spacing w:line="360" w:lineRule="auto"/>
        <w:ind w:firstLine="480" w:firstLineChars="200"/>
        <w:rPr>
          <w:rFonts w:ascii="宋体" w:hAnsi="宋体"/>
          <w:sz w:val="24"/>
        </w:rPr>
      </w:pPr>
      <w:r>
        <w:rPr>
          <w:rFonts w:hint="eastAsia" w:ascii="宋体" w:hAnsi="宋体"/>
          <w:sz w:val="24"/>
        </w:rPr>
        <w:t>1.时间：</w:t>
      </w:r>
      <w:r>
        <w:rPr>
          <w:rFonts w:hint="eastAsia" w:ascii="宋体" w:hAnsi="宋体"/>
          <w:sz w:val="24"/>
          <w:u w:val="single"/>
        </w:rPr>
        <w:t>202</w:t>
      </w:r>
      <w:r>
        <w:rPr>
          <w:rFonts w:ascii="宋体" w:hAnsi="宋体"/>
          <w:sz w:val="24"/>
          <w:u w:val="single"/>
        </w:rPr>
        <w:t>4</w:t>
      </w:r>
      <w:r>
        <w:rPr>
          <w:rFonts w:hint="eastAsia" w:ascii="宋体" w:hAnsi="宋体"/>
          <w:sz w:val="24"/>
          <w:u w:val="single"/>
        </w:rPr>
        <w:t>年5月</w:t>
      </w:r>
      <w:r>
        <w:rPr>
          <w:rFonts w:hint="eastAsia" w:ascii="宋体" w:hAnsi="宋体"/>
          <w:sz w:val="24"/>
          <w:u w:val="single"/>
          <w:lang w:val="en-US" w:eastAsia="zh-CN"/>
        </w:rPr>
        <w:t>16</w:t>
      </w:r>
      <w:r>
        <w:rPr>
          <w:rFonts w:hint="eastAsia" w:ascii="宋体" w:hAnsi="宋体"/>
          <w:sz w:val="24"/>
          <w:u w:val="single"/>
        </w:rPr>
        <w:t>日至202</w:t>
      </w:r>
      <w:r>
        <w:rPr>
          <w:rFonts w:ascii="宋体" w:hAnsi="宋体"/>
          <w:sz w:val="24"/>
          <w:u w:val="single"/>
        </w:rPr>
        <w:t>4</w:t>
      </w:r>
      <w:r>
        <w:rPr>
          <w:rFonts w:hint="eastAsia" w:ascii="宋体" w:hAnsi="宋体"/>
          <w:sz w:val="24"/>
          <w:u w:val="single"/>
        </w:rPr>
        <w:t>年</w:t>
      </w:r>
      <w:r>
        <w:rPr>
          <w:rFonts w:ascii="宋体" w:hAnsi="宋体"/>
          <w:sz w:val="24"/>
          <w:u w:val="single"/>
        </w:rPr>
        <w:t>5</w:t>
      </w:r>
      <w:r>
        <w:rPr>
          <w:rFonts w:hint="eastAsia" w:ascii="宋体" w:hAnsi="宋体"/>
          <w:sz w:val="24"/>
          <w:u w:val="single"/>
        </w:rPr>
        <w:t>月2</w:t>
      </w:r>
      <w:r>
        <w:rPr>
          <w:rFonts w:hint="eastAsia" w:ascii="宋体" w:hAnsi="宋体"/>
          <w:sz w:val="24"/>
          <w:u w:val="single"/>
          <w:lang w:val="en-US" w:eastAsia="zh-CN"/>
        </w:rPr>
        <w:t>3</w:t>
      </w:r>
      <w:r>
        <w:rPr>
          <w:rFonts w:hint="eastAsia" w:ascii="宋体" w:hAnsi="宋体"/>
          <w:sz w:val="24"/>
          <w:u w:val="single"/>
        </w:rPr>
        <w:t>日</w:t>
      </w:r>
      <w:r>
        <w:rPr>
          <w:rFonts w:hint="eastAsia" w:ascii="宋体" w:hAnsi="宋体"/>
          <w:sz w:val="24"/>
        </w:rPr>
        <w:t>，每天上午9:00—11:30，下午1</w:t>
      </w:r>
      <w:r>
        <w:rPr>
          <w:rFonts w:ascii="宋体" w:hAnsi="宋体"/>
          <w:sz w:val="24"/>
        </w:rPr>
        <w:t>3</w:t>
      </w:r>
      <w:r>
        <w:rPr>
          <w:rFonts w:hint="eastAsia" w:ascii="宋体" w:hAnsi="宋体"/>
          <w:sz w:val="24"/>
        </w:rPr>
        <w:t>:</w:t>
      </w:r>
      <w:r>
        <w:rPr>
          <w:rFonts w:ascii="宋体" w:hAnsi="宋体"/>
          <w:sz w:val="24"/>
        </w:rPr>
        <w:t>0</w:t>
      </w:r>
      <w:r>
        <w:rPr>
          <w:rFonts w:hint="eastAsia" w:ascii="宋体" w:hAnsi="宋体"/>
          <w:sz w:val="24"/>
        </w:rPr>
        <w:t>0—17:30（北京时间，节假日除外）；</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.地点：常州市武进区淹城丰乐坊11号—常州新禾招投标有限公司；</w:t>
      </w:r>
    </w:p>
    <w:p>
      <w:pPr>
        <w:snapToGrid w:val="0"/>
        <w:spacing w:line="360" w:lineRule="auto"/>
        <w:ind w:firstLine="480" w:firstLineChars="200"/>
        <w:rPr>
          <w:rFonts w:ascii="宋体" w:hAnsi="宋体"/>
          <w:sz w:val="24"/>
        </w:rPr>
      </w:pPr>
      <w:r>
        <w:rPr>
          <w:rFonts w:hint="eastAsia" w:ascii="宋体" w:hAnsi="宋体"/>
          <w:sz w:val="24"/>
        </w:rPr>
        <w:t>3.方式：</w:t>
      </w:r>
      <w:r>
        <w:rPr>
          <w:rFonts w:hint="eastAsia" w:ascii="宋体" w:hAnsi="宋体"/>
          <w:b/>
          <w:bCs/>
          <w:sz w:val="24"/>
        </w:rPr>
        <w:t>（1）现场获取：</w:t>
      </w:r>
      <w:r>
        <w:rPr>
          <w:rFonts w:hint="eastAsia" w:ascii="宋体" w:hAnsi="宋体"/>
          <w:sz w:val="24"/>
        </w:rPr>
        <w:t>常州市武进区淹城丰乐坊11号—常州新禾招投标有限公司；</w:t>
      </w:r>
    </w:p>
    <w:p>
      <w:pPr>
        <w:snapToGrid w:val="0"/>
        <w:spacing w:line="360" w:lineRule="auto"/>
        <w:ind w:firstLine="482" w:firstLineChars="200"/>
        <w:rPr>
          <w:rFonts w:ascii="宋体" w:hAnsi="宋体"/>
          <w:sz w:val="24"/>
        </w:rPr>
      </w:pPr>
      <w:r>
        <w:rPr>
          <w:rFonts w:hint="eastAsia" w:ascii="宋体" w:hAnsi="宋体"/>
          <w:b/>
          <w:bCs/>
          <w:sz w:val="24"/>
        </w:rPr>
        <w:t>（2）网络领购：</w:t>
      </w:r>
      <w:r>
        <w:rPr>
          <w:rFonts w:hint="eastAsia" w:ascii="宋体" w:hAnsi="宋体"/>
          <w:sz w:val="24"/>
        </w:rPr>
        <w:t>将获取采购文件需提交的资料的彩色电子扫描件发送至邮箱（582373189@qq.com）,主题为项目编号+供应商名称。获取招标文件需提交的资料如下：</w:t>
      </w:r>
    </w:p>
    <w:p>
      <w:pPr>
        <w:snapToGrid w:val="0"/>
        <w:spacing w:line="360" w:lineRule="auto"/>
        <w:ind w:firstLine="480" w:firstLineChars="200"/>
        <w:rPr>
          <w:rFonts w:ascii="宋体" w:hAnsi="宋体"/>
          <w:sz w:val="24"/>
        </w:rPr>
      </w:pPr>
      <w:r>
        <w:rPr>
          <w:rFonts w:hint="eastAsia" w:ascii="宋体" w:hAnsi="宋体"/>
          <w:sz w:val="24"/>
        </w:rPr>
        <w:t>1）获取招标文件登记表原件或电子扫描件（格式详见附件1）；</w:t>
      </w:r>
    </w:p>
    <w:p>
      <w:pPr>
        <w:snapToGrid w:val="0"/>
        <w:spacing w:line="360" w:lineRule="auto"/>
        <w:ind w:firstLine="480" w:firstLineChars="200"/>
        <w:rPr>
          <w:rFonts w:ascii="宋体" w:hAnsi="宋体"/>
          <w:sz w:val="24"/>
        </w:rPr>
      </w:pPr>
      <w:r>
        <w:rPr>
          <w:rFonts w:hint="eastAsia" w:ascii="宋体" w:hAnsi="宋体"/>
          <w:sz w:val="24"/>
        </w:rPr>
        <w:t>2）营业执照副本和税务登记证副本(或“三证合一”的营业执照副本）或事业单位法人证书复印件加盖公章或电子扫描件；</w:t>
      </w:r>
    </w:p>
    <w:p>
      <w:pPr>
        <w:snapToGrid w:val="0"/>
        <w:spacing w:line="360" w:lineRule="auto"/>
        <w:ind w:firstLine="482" w:firstLineChars="200"/>
        <w:rPr>
          <w:rFonts w:ascii="宋体" w:hAnsi="宋体"/>
          <w:b/>
          <w:bCs/>
          <w:sz w:val="24"/>
        </w:rPr>
      </w:pPr>
      <w:r>
        <w:rPr>
          <w:rFonts w:hint="eastAsia" w:ascii="宋体" w:hAnsi="宋体"/>
          <w:b/>
          <w:bCs/>
          <w:sz w:val="24"/>
        </w:rPr>
        <w:t>（若现场获取：提供以上资料请按以上顺序装订成册加盖供应商公章，一式2份；若网络领购：提供以上资料请按以上顺序加盖供应商公章的彩色电子扫描件发送至指定邮箱）</w:t>
      </w:r>
    </w:p>
    <w:p>
      <w:pPr>
        <w:snapToGrid w:val="0"/>
        <w:spacing w:line="360" w:lineRule="auto"/>
        <w:ind w:firstLine="480" w:firstLineChars="200"/>
        <w:rPr>
          <w:rFonts w:ascii="宋体" w:hAnsi="宋体" w:cs="宋体"/>
          <w:sz w:val="24"/>
        </w:rPr>
      </w:pPr>
      <w:r>
        <w:rPr>
          <w:rFonts w:ascii="宋体" w:hAnsi="宋体"/>
          <w:sz w:val="24"/>
        </w:rPr>
        <w:t>4</w:t>
      </w:r>
      <w:r>
        <w:rPr>
          <w:rFonts w:hint="eastAsia" w:ascii="宋体" w:hAnsi="宋体"/>
          <w:sz w:val="24"/>
        </w:rPr>
        <w:t>.售价：人民币壹佰元整，</w:t>
      </w:r>
      <w:r>
        <w:rPr>
          <w:rFonts w:hint="eastAsia" w:ascii="宋体" w:hAnsi="宋体" w:cs="宋体"/>
          <w:sz w:val="24"/>
        </w:rPr>
        <w:t>售后不退。</w:t>
      </w:r>
    </w:p>
    <w:p>
      <w:pPr>
        <w:snapToGrid w:val="0"/>
        <w:spacing w:line="360" w:lineRule="auto"/>
        <w:ind w:firstLine="482" w:firstLineChars="200"/>
        <w:rPr>
          <w:rFonts w:ascii="宋体" w:hAnsi="宋体"/>
          <w:b/>
          <w:sz w:val="24"/>
        </w:rPr>
      </w:pPr>
      <w:r>
        <w:rPr>
          <w:rFonts w:hint="eastAsia" w:ascii="宋体" w:hAnsi="宋体"/>
          <w:b/>
          <w:sz w:val="24"/>
        </w:rPr>
        <w:t>四、响应文件提交</w:t>
      </w:r>
    </w:p>
    <w:p>
      <w:pPr>
        <w:snapToGrid w:val="0"/>
        <w:spacing w:line="360" w:lineRule="auto"/>
        <w:ind w:firstLine="480" w:firstLineChars="200"/>
        <w:rPr>
          <w:rFonts w:ascii="宋体" w:hAnsi="宋体"/>
          <w:sz w:val="24"/>
        </w:rPr>
      </w:pPr>
      <w:r>
        <w:rPr>
          <w:rFonts w:hint="eastAsia" w:ascii="宋体" w:hAnsi="宋体"/>
          <w:sz w:val="24"/>
        </w:rPr>
        <w:t>1.截止时间：</w:t>
      </w:r>
      <w:r>
        <w:rPr>
          <w:rFonts w:ascii="宋体" w:hAnsi="宋体" w:cs="宋体"/>
          <w:bCs/>
          <w:kern w:val="0"/>
          <w:sz w:val="24"/>
        </w:rPr>
        <w:t>2024</w:t>
      </w:r>
      <w:r>
        <w:rPr>
          <w:rFonts w:hint="eastAsia" w:ascii="宋体" w:hAnsi="宋体" w:cs="宋体"/>
          <w:bCs/>
          <w:kern w:val="0"/>
          <w:sz w:val="24"/>
        </w:rPr>
        <w:t>年</w:t>
      </w:r>
      <w:r>
        <w:rPr>
          <w:rFonts w:ascii="宋体" w:hAnsi="宋体" w:cs="宋体"/>
          <w:bCs/>
          <w:kern w:val="0"/>
          <w:sz w:val="24"/>
        </w:rPr>
        <w:t>5</w:t>
      </w:r>
      <w:r>
        <w:rPr>
          <w:rFonts w:hint="eastAsia" w:ascii="宋体" w:hAnsi="宋体" w:cs="宋体"/>
          <w:bCs/>
          <w:kern w:val="0"/>
          <w:sz w:val="24"/>
        </w:rPr>
        <w:t>月2</w:t>
      </w:r>
      <w:r>
        <w:rPr>
          <w:rFonts w:hint="eastAsia" w:ascii="宋体" w:hAnsi="宋体" w:cs="宋体"/>
          <w:bCs/>
          <w:kern w:val="0"/>
          <w:sz w:val="24"/>
          <w:lang w:val="en-US" w:eastAsia="zh-CN"/>
        </w:rPr>
        <w:t>7</w:t>
      </w:r>
      <w:r>
        <w:rPr>
          <w:rFonts w:hint="eastAsia" w:ascii="宋体" w:hAnsi="宋体" w:cs="宋体"/>
          <w:bCs/>
          <w:kern w:val="0"/>
          <w:sz w:val="24"/>
        </w:rPr>
        <w:t>日</w:t>
      </w:r>
      <w:r>
        <w:rPr>
          <w:rFonts w:ascii="宋体" w:hAnsi="宋体" w:cs="宋体"/>
          <w:bCs/>
          <w:kern w:val="0"/>
          <w:sz w:val="24"/>
        </w:rPr>
        <w:t>14</w:t>
      </w:r>
      <w:r>
        <w:rPr>
          <w:rFonts w:hint="eastAsia" w:ascii="宋体" w:hAnsi="宋体" w:cs="宋体"/>
          <w:bCs/>
          <w:kern w:val="0"/>
          <w:sz w:val="24"/>
        </w:rPr>
        <w:t>时</w:t>
      </w:r>
      <w:r>
        <w:rPr>
          <w:rFonts w:ascii="宋体" w:hAnsi="宋体" w:cs="宋体"/>
          <w:bCs/>
          <w:kern w:val="0"/>
          <w:sz w:val="24"/>
        </w:rPr>
        <w:t>00</w:t>
      </w:r>
      <w:r>
        <w:rPr>
          <w:rFonts w:hint="eastAsia" w:ascii="宋体" w:hAnsi="宋体"/>
          <w:sz w:val="24"/>
        </w:rPr>
        <w:t>分（北京时间）</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.地点：常州市武进区淹城丰乐坊11号—常州新禾招投标有限公司</w:t>
      </w:r>
    </w:p>
    <w:p>
      <w:pPr>
        <w:snapToGrid w:val="0"/>
        <w:spacing w:line="360" w:lineRule="auto"/>
        <w:ind w:firstLine="482" w:firstLineChars="200"/>
        <w:rPr>
          <w:rFonts w:ascii="宋体" w:hAnsi="宋体"/>
          <w:b/>
          <w:sz w:val="24"/>
        </w:rPr>
      </w:pPr>
      <w:r>
        <w:rPr>
          <w:rFonts w:hint="eastAsia" w:ascii="宋体" w:hAnsi="宋体"/>
          <w:b/>
          <w:sz w:val="24"/>
        </w:rPr>
        <w:t>五、开启</w:t>
      </w:r>
    </w:p>
    <w:p>
      <w:pPr>
        <w:snapToGrid w:val="0"/>
        <w:spacing w:line="360" w:lineRule="auto"/>
        <w:ind w:firstLine="480" w:firstLineChars="200"/>
        <w:rPr>
          <w:rFonts w:ascii="宋体" w:hAnsi="宋体"/>
          <w:sz w:val="24"/>
        </w:rPr>
      </w:pPr>
      <w:r>
        <w:rPr>
          <w:rFonts w:hint="eastAsia" w:ascii="宋体" w:hAnsi="宋体"/>
          <w:sz w:val="24"/>
        </w:rPr>
        <w:t>1.时间：</w:t>
      </w:r>
      <w:r>
        <w:rPr>
          <w:rFonts w:ascii="宋体" w:hAnsi="宋体" w:cs="宋体"/>
          <w:bCs/>
          <w:kern w:val="0"/>
          <w:sz w:val="24"/>
        </w:rPr>
        <w:t>2024</w:t>
      </w:r>
      <w:r>
        <w:rPr>
          <w:rFonts w:hint="eastAsia" w:ascii="宋体" w:hAnsi="宋体" w:cs="宋体"/>
          <w:bCs/>
          <w:kern w:val="0"/>
          <w:sz w:val="24"/>
        </w:rPr>
        <w:t>年</w:t>
      </w:r>
      <w:r>
        <w:rPr>
          <w:rFonts w:ascii="宋体" w:hAnsi="宋体" w:cs="宋体"/>
          <w:bCs/>
          <w:kern w:val="0"/>
          <w:sz w:val="24"/>
        </w:rPr>
        <w:t>5</w:t>
      </w:r>
      <w:r>
        <w:rPr>
          <w:rFonts w:hint="eastAsia" w:ascii="宋体" w:hAnsi="宋体" w:cs="宋体"/>
          <w:bCs/>
          <w:kern w:val="0"/>
          <w:sz w:val="24"/>
        </w:rPr>
        <w:t>月2</w:t>
      </w:r>
      <w:r>
        <w:rPr>
          <w:rFonts w:hint="eastAsia" w:ascii="宋体" w:hAnsi="宋体" w:cs="宋体"/>
          <w:bCs/>
          <w:kern w:val="0"/>
          <w:sz w:val="24"/>
          <w:lang w:val="en-US" w:eastAsia="zh-CN"/>
        </w:rPr>
        <w:t>7</w:t>
      </w:r>
      <w:r>
        <w:rPr>
          <w:rFonts w:hint="eastAsia" w:ascii="宋体" w:hAnsi="宋体" w:cs="宋体"/>
          <w:bCs/>
          <w:kern w:val="0"/>
          <w:sz w:val="24"/>
        </w:rPr>
        <w:t>日</w:t>
      </w:r>
      <w:r>
        <w:rPr>
          <w:rFonts w:ascii="宋体" w:hAnsi="宋体" w:cs="宋体"/>
          <w:bCs/>
          <w:kern w:val="0"/>
          <w:sz w:val="24"/>
        </w:rPr>
        <w:t>14</w:t>
      </w:r>
      <w:r>
        <w:rPr>
          <w:rFonts w:hint="eastAsia" w:ascii="宋体" w:hAnsi="宋体" w:cs="宋体"/>
          <w:bCs/>
          <w:kern w:val="0"/>
          <w:sz w:val="24"/>
        </w:rPr>
        <w:t>时</w:t>
      </w:r>
      <w:r>
        <w:rPr>
          <w:rFonts w:ascii="宋体" w:hAnsi="宋体" w:cs="宋体"/>
          <w:bCs/>
          <w:kern w:val="0"/>
          <w:sz w:val="24"/>
        </w:rPr>
        <w:t>00</w:t>
      </w:r>
      <w:r>
        <w:rPr>
          <w:rFonts w:hint="eastAsia" w:ascii="宋体" w:hAnsi="宋体"/>
          <w:sz w:val="24"/>
        </w:rPr>
        <w:t>分（北京时间）</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.地点：常州市武进区淹城丰乐坊11号—常州新禾招投标有限公司</w:t>
      </w:r>
    </w:p>
    <w:p>
      <w:pPr>
        <w:snapToGrid w:val="0"/>
        <w:spacing w:line="360" w:lineRule="auto"/>
        <w:ind w:firstLine="482" w:firstLineChars="200"/>
        <w:rPr>
          <w:rFonts w:ascii="宋体" w:hAnsi="宋体"/>
          <w:sz w:val="24"/>
        </w:rPr>
      </w:pPr>
      <w:r>
        <w:rPr>
          <w:rFonts w:hint="eastAsia" w:ascii="宋体" w:hAnsi="宋体"/>
          <w:b/>
          <w:sz w:val="24"/>
        </w:rPr>
        <w:t>六、公告期限：</w:t>
      </w:r>
      <w:r>
        <w:rPr>
          <w:rFonts w:hint="eastAsia" w:ascii="宋体" w:hAnsi="宋体"/>
          <w:sz w:val="24"/>
        </w:rPr>
        <w:t>自本公告发布之日起5个工作日。</w:t>
      </w:r>
    </w:p>
    <w:p>
      <w:pPr>
        <w:snapToGrid w:val="0"/>
        <w:spacing w:line="360" w:lineRule="auto"/>
        <w:ind w:firstLine="482" w:firstLineChars="200"/>
        <w:rPr>
          <w:rFonts w:ascii="宋体" w:hAnsi="宋体"/>
          <w:b/>
          <w:bCs/>
          <w:sz w:val="24"/>
        </w:rPr>
      </w:pPr>
      <w:r>
        <w:rPr>
          <w:rFonts w:hint="eastAsia" w:ascii="宋体" w:hAnsi="宋体"/>
          <w:b/>
          <w:bCs/>
          <w:sz w:val="24"/>
        </w:rPr>
        <w:t>七、其他补充事宜</w:t>
      </w:r>
    </w:p>
    <w:p>
      <w:pPr>
        <w:snapToGrid w:val="0"/>
        <w:spacing w:line="360" w:lineRule="auto"/>
        <w:ind w:firstLine="480" w:firstLineChars="200"/>
        <w:rPr>
          <w:rFonts w:ascii="宋体" w:hAnsi="宋体" w:cs="宋体"/>
          <w:bCs/>
          <w:sz w:val="24"/>
        </w:rPr>
      </w:pPr>
      <w:r>
        <w:rPr>
          <w:rFonts w:hint="eastAsia" w:ascii="宋体" w:hAnsi="宋体" w:cs="宋体"/>
          <w:bCs/>
          <w:sz w:val="24"/>
        </w:rPr>
        <w:t>1.磋商保证金：本项目无需缴纳保证金。</w:t>
      </w:r>
    </w:p>
    <w:p>
      <w:pPr>
        <w:snapToGrid w:val="0"/>
        <w:spacing w:line="360" w:lineRule="auto"/>
        <w:ind w:firstLine="480" w:firstLineChars="200"/>
        <w:rPr>
          <w:rFonts w:ascii="宋体" w:hAnsi="宋体" w:cs="宋体"/>
          <w:bCs/>
          <w:sz w:val="24"/>
        </w:rPr>
      </w:pPr>
      <w:r>
        <w:rPr>
          <w:rFonts w:hint="eastAsia" w:ascii="宋体" w:hAnsi="宋体" w:cs="宋体"/>
          <w:bCs/>
          <w:sz w:val="24"/>
        </w:rPr>
        <w:t>2.已经报名参加采购活动获取磋商文件的供应商，因不可抗力等原因不能参与采购活动的，应在开标前以书面形式提交申请，说明不参与投标的原因。</w:t>
      </w:r>
    </w:p>
    <w:p>
      <w:pPr>
        <w:snapToGrid w:val="0"/>
        <w:spacing w:line="360" w:lineRule="auto"/>
        <w:ind w:firstLine="482" w:firstLineChars="200"/>
        <w:rPr>
          <w:rFonts w:ascii="宋体" w:hAnsi="宋体"/>
          <w:b/>
          <w:bCs/>
          <w:sz w:val="24"/>
        </w:rPr>
      </w:pPr>
      <w:r>
        <w:rPr>
          <w:rFonts w:hint="eastAsia" w:ascii="宋体" w:hAnsi="宋体"/>
          <w:b/>
          <w:bCs/>
          <w:sz w:val="24"/>
        </w:rPr>
        <w:t>八、对本次采购提出询问，请按以下方式联系。</w:t>
      </w:r>
    </w:p>
    <w:p>
      <w:pPr>
        <w:snapToGrid w:val="0"/>
        <w:spacing w:line="360" w:lineRule="auto"/>
        <w:rPr>
          <w:rFonts w:ascii="宋体" w:hAnsi="宋体"/>
          <w:sz w:val="24"/>
        </w:rPr>
      </w:pPr>
      <w:r>
        <w:rPr>
          <w:rFonts w:hint="eastAsia" w:ascii="宋体" w:hAnsi="宋体"/>
          <w:sz w:val="24"/>
        </w:rPr>
        <w:t>　　1.</w:t>
      </w:r>
      <w:r>
        <w:rPr>
          <w:rFonts w:ascii="宋体" w:hAnsi="宋体"/>
          <w:sz w:val="24"/>
        </w:rPr>
        <w:t>采购人信息</w:t>
      </w:r>
    </w:p>
    <w:p>
      <w:pPr>
        <w:snapToGrid w:val="0"/>
        <w:spacing w:line="360" w:lineRule="auto"/>
        <w:ind w:firstLine="480" w:firstLineChars="200"/>
        <w:rPr>
          <w:rFonts w:ascii="宋体" w:hAnsi="宋体"/>
          <w:sz w:val="24"/>
        </w:rPr>
      </w:pPr>
      <w:r>
        <w:rPr>
          <w:rFonts w:hint="eastAsia" w:ascii="宋体" w:hAnsi="宋体"/>
          <w:sz w:val="24"/>
        </w:rPr>
        <w:t>名</w:t>
      </w:r>
      <w:r>
        <w:rPr>
          <w:rFonts w:ascii="宋体" w:hAnsi="宋体"/>
          <w:sz w:val="24"/>
        </w:rPr>
        <w:t xml:space="preserve"> 称：</w:t>
      </w:r>
      <w:r>
        <w:rPr>
          <w:rFonts w:hint="eastAsia" w:ascii="宋体" w:hAnsi="宋体"/>
          <w:sz w:val="24"/>
        </w:rPr>
        <w:t>常州市武进区嘉泽镇成章卫生院</w:t>
      </w:r>
    </w:p>
    <w:p>
      <w:pPr>
        <w:snapToGrid w:val="0"/>
        <w:spacing w:line="360" w:lineRule="auto"/>
        <w:ind w:firstLine="480" w:firstLineChars="200"/>
        <w:rPr>
          <w:rFonts w:ascii="宋体" w:hAnsi="宋体"/>
          <w:sz w:val="24"/>
        </w:rPr>
      </w:pPr>
      <w:r>
        <w:rPr>
          <w:rFonts w:hint="eastAsia" w:ascii="宋体" w:hAnsi="宋体"/>
          <w:sz w:val="24"/>
        </w:rPr>
        <w:t>地</w:t>
      </w:r>
      <w:r>
        <w:rPr>
          <w:rFonts w:ascii="宋体" w:hAnsi="宋体"/>
          <w:sz w:val="24"/>
        </w:rPr>
        <w:t xml:space="preserve"> 址：</w:t>
      </w:r>
      <w:r>
        <w:rPr>
          <w:rFonts w:hint="eastAsia" w:ascii="宋体" w:hAnsi="宋体"/>
          <w:sz w:val="24"/>
        </w:rPr>
        <w:t>常州市武进区嘉泽镇成章成金路18号</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代理机构</w:t>
      </w:r>
    </w:p>
    <w:p>
      <w:pPr>
        <w:snapToGrid w:val="0"/>
        <w:spacing w:line="360" w:lineRule="auto"/>
        <w:ind w:firstLine="480" w:firstLineChars="200"/>
        <w:rPr>
          <w:rFonts w:ascii="宋体" w:hAnsi="宋体"/>
          <w:sz w:val="24"/>
        </w:rPr>
      </w:pPr>
      <w:r>
        <w:rPr>
          <w:rFonts w:hint="eastAsia" w:ascii="宋体" w:hAnsi="宋体"/>
          <w:sz w:val="24"/>
        </w:rPr>
        <w:t>名</w:t>
      </w:r>
      <w:r>
        <w:rPr>
          <w:rFonts w:ascii="宋体" w:hAnsi="宋体"/>
          <w:sz w:val="24"/>
        </w:rPr>
        <w:t xml:space="preserve"> 称：</w:t>
      </w:r>
      <w:r>
        <w:rPr>
          <w:rFonts w:hint="eastAsia" w:ascii="宋体" w:hAnsi="宋体" w:cs="宋体"/>
          <w:sz w:val="24"/>
        </w:rPr>
        <w:t>常州新禾招投标有限公司</w:t>
      </w:r>
    </w:p>
    <w:p>
      <w:pPr>
        <w:snapToGrid w:val="0"/>
        <w:spacing w:line="360" w:lineRule="auto"/>
        <w:ind w:firstLine="480" w:firstLineChars="200"/>
        <w:rPr>
          <w:rFonts w:ascii="宋体" w:hAnsi="宋体"/>
          <w:sz w:val="24"/>
        </w:rPr>
      </w:pPr>
      <w:r>
        <w:rPr>
          <w:rFonts w:hint="eastAsia" w:ascii="宋体" w:hAnsi="宋体"/>
          <w:sz w:val="24"/>
        </w:rPr>
        <w:t>地</w:t>
      </w:r>
      <w:r>
        <w:rPr>
          <w:rFonts w:ascii="宋体" w:hAnsi="宋体"/>
          <w:sz w:val="24"/>
        </w:rPr>
        <w:t xml:space="preserve"> 址：</w:t>
      </w:r>
      <w:r>
        <w:rPr>
          <w:rFonts w:hint="eastAsia" w:ascii="宋体" w:hAnsi="宋体" w:cs="宋体"/>
          <w:sz w:val="24"/>
        </w:rPr>
        <w:t>常州市武进区淹城丰乐坊11号</w:t>
      </w:r>
    </w:p>
    <w:p>
      <w:pPr>
        <w:snapToGrid w:val="0"/>
        <w:spacing w:line="360" w:lineRule="auto"/>
        <w:ind w:firstLine="480" w:firstLineChars="200"/>
        <w:rPr>
          <w:rFonts w:ascii="宋体" w:hAnsi="宋体"/>
          <w:sz w:val="24"/>
        </w:rPr>
      </w:pPr>
      <w:r>
        <w:rPr>
          <w:rFonts w:hint="eastAsia" w:ascii="宋体" w:hAnsi="宋体"/>
          <w:sz w:val="24"/>
        </w:rPr>
        <w:t>联系人：王先生</w:t>
      </w:r>
    </w:p>
    <w:p>
      <w:pPr>
        <w:snapToGrid w:val="0"/>
        <w:spacing w:line="360" w:lineRule="auto"/>
        <w:ind w:firstLine="480" w:firstLineChars="200"/>
        <w:rPr>
          <w:rFonts w:ascii="宋体" w:hAnsi="宋体"/>
          <w:sz w:val="24"/>
        </w:rPr>
      </w:pPr>
      <w:r>
        <w:rPr>
          <w:rFonts w:hint="eastAsia" w:ascii="宋体" w:hAnsi="宋体"/>
          <w:sz w:val="24"/>
        </w:rPr>
        <w:t>电</w:t>
      </w:r>
      <w:r>
        <w:rPr>
          <w:rFonts w:ascii="宋体" w:hAnsi="宋体"/>
          <w:sz w:val="24"/>
        </w:rPr>
        <w:t xml:space="preserve">  话：</w:t>
      </w:r>
      <w:r>
        <w:rPr>
          <w:rFonts w:hint="eastAsia" w:ascii="宋体" w:hAnsi="宋体"/>
          <w:sz w:val="24"/>
        </w:rPr>
        <w:t>0</w:t>
      </w:r>
      <w:r>
        <w:rPr>
          <w:rFonts w:ascii="宋体" w:hAnsi="宋体"/>
          <w:sz w:val="24"/>
        </w:rPr>
        <w:t>519-</w:t>
      </w:r>
      <w:r>
        <w:rPr>
          <w:rFonts w:hint="eastAsia" w:ascii="宋体" w:hAnsi="宋体"/>
          <w:sz w:val="24"/>
        </w:rPr>
        <w:t>80588588</w:t>
      </w:r>
    </w:p>
    <w:p>
      <w:pPr>
        <w:snapToGrid w:val="0"/>
        <w:spacing w:line="360" w:lineRule="auto"/>
        <w:ind w:firstLine="480" w:firstLineChars="200"/>
        <w:rPr>
          <w:rFonts w:ascii="宋体" w:hAnsi="宋体"/>
          <w:sz w:val="24"/>
        </w:rPr>
      </w:pPr>
      <w:r>
        <w:rPr>
          <w:rFonts w:hint="eastAsia" w:ascii="宋体" w:hAnsi="宋体"/>
          <w:sz w:val="24"/>
        </w:rPr>
        <w:t>3.项目联系方式</w:t>
      </w:r>
    </w:p>
    <w:p>
      <w:pPr>
        <w:snapToGrid w:val="0"/>
        <w:spacing w:line="360" w:lineRule="auto"/>
        <w:ind w:firstLine="480" w:firstLineChars="200"/>
        <w:rPr>
          <w:rFonts w:ascii="宋体" w:hAnsi="宋体"/>
          <w:sz w:val="24"/>
        </w:rPr>
      </w:pPr>
      <w:r>
        <w:rPr>
          <w:rFonts w:hint="eastAsia" w:ascii="宋体" w:hAnsi="宋体"/>
          <w:sz w:val="24"/>
        </w:rPr>
        <w:t>相关联系人：李女士</w:t>
      </w:r>
    </w:p>
    <w:p>
      <w:pPr>
        <w:snapToGrid w:val="0"/>
        <w:spacing w:line="360" w:lineRule="auto"/>
        <w:ind w:firstLine="480" w:firstLineChars="200"/>
        <w:rPr>
          <w:rFonts w:ascii="宋体" w:hAnsi="宋体"/>
          <w:sz w:val="24"/>
        </w:rPr>
      </w:pPr>
      <w:r>
        <w:rPr>
          <w:rFonts w:hint="eastAsia" w:ascii="宋体" w:hAnsi="宋体"/>
          <w:sz w:val="24"/>
        </w:rPr>
        <w:t>电 话：0</w:t>
      </w:r>
      <w:r>
        <w:rPr>
          <w:rFonts w:ascii="宋体" w:hAnsi="宋体"/>
          <w:sz w:val="24"/>
        </w:rPr>
        <w:t>519-</w:t>
      </w:r>
      <w:r>
        <w:rPr>
          <w:rFonts w:hint="eastAsia" w:ascii="宋体" w:hAnsi="宋体"/>
          <w:sz w:val="24"/>
        </w:rPr>
        <w:t>80588588</w:t>
      </w:r>
    </w:p>
    <w:bookmarkEnd w:id="7"/>
    <w:bookmarkEnd w:id="9"/>
    <w:p>
      <w:pPr>
        <w:widowControl/>
        <w:spacing w:line="360" w:lineRule="auto"/>
        <w:jc w:val="left"/>
        <w:rPr>
          <w:rFonts w:ascii="宋体" w:hAnsi="宋体"/>
          <w:sz w:val="24"/>
        </w:rPr>
      </w:pPr>
      <w:r>
        <w:rPr>
          <w:rFonts w:ascii="宋体" w:hAnsi="宋体"/>
          <w:sz w:val="24"/>
        </w:rPr>
        <w:br w:type="page"/>
      </w:r>
    </w:p>
    <w:bookmarkEnd w:id="8"/>
    <w:p>
      <w:pPr>
        <w:widowControl/>
        <w:pBdr>
          <w:top w:val="none" w:color="000000" w:sz="0" w:space="3"/>
          <w:left w:val="none" w:color="000000" w:sz="0" w:space="0"/>
          <w:bottom w:val="none" w:color="000000" w:sz="0" w:space="3"/>
          <w:right w:val="none" w:color="000000" w:sz="0" w:space="3"/>
        </w:pBdr>
        <w:shd w:val="clear" w:color="000000" w:fill="FFFFFF"/>
        <w:spacing w:after="150" w:line="360" w:lineRule="auto"/>
        <w:jc w:val="left"/>
        <w:rPr>
          <w:rFonts w:ascii="宋体" w:hAnsi="宋体" w:cs="宋体"/>
          <w:sz w:val="24"/>
        </w:rPr>
      </w:pPr>
      <w:r>
        <w:rPr>
          <w:rFonts w:ascii="宋体" w:hAnsi="宋体" w:cs="宋体"/>
          <w:sz w:val="24"/>
        </w:rPr>
        <w:t>附件1：</w:t>
      </w:r>
    </w:p>
    <w:p>
      <w:pPr>
        <w:widowControl/>
        <w:pBdr>
          <w:top w:val="none" w:color="000000" w:sz="0" w:space="3"/>
          <w:left w:val="none" w:color="000000" w:sz="0" w:space="0"/>
          <w:bottom w:val="none" w:color="000000" w:sz="0" w:space="3"/>
          <w:right w:val="none" w:color="000000" w:sz="0" w:space="3"/>
        </w:pBdr>
        <w:shd w:val="clear" w:color="000000" w:fill="FFFFFF"/>
        <w:spacing w:line="360" w:lineRule="auto"/>
        <w:jc w:val="center"/>
        <w:rPr>
          <w:rFonts w:ascii="宋体" w:hAnsi="宋体"/>
          <w:sz w:val="18"/>
          <w:szCs w:val="22"/>
        </w:rPr>
      </w:pPr>
      <w:r>
        <w:rPr>
          <w:rFonts w:hint="eastAsia" w:ascii="宋体" w:hAnsi="宋体"/>
          <w:b/>
          <w:bCs/>
          <w:sz w:val="32"/>
          <w:szCs w:val="22"/>
        </w:rPr>
        <w:t>获取磋商文件</w:t>
      </w:r>
      <w:r>
        <w:rPr>
          <w:rFonts w:ascii="宋体" w:hAnsi="宋体"/>
          <w:b/>
          <w:bCs/>
          <w:sz w:val="32"/>
          <w:szCs w:val="22"/>
        </w:rPr>
        <w:t>申请表</w:t>
      </w:r>
    </w:p>
    <w:tbl>
      <w:tblPr>
        <w:tblStyle w:val="22"/>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2126" w:type="dxa"/>
            <w:vAlign w:val="center"/>
          </w:tcPr>
          <w:p>
            <w:pPr>
              <w:spacing w:line="360" w:lineRule="auto"/>
              <w:jc w:val="center"/>
              <w:rPr>
                <w:rFonts w:ascii="宋体" w:hAnsi="宋体" w:cs="宋体"/>
                <w:spacing w:val="-8"/>
                <w:sz w:val="24"/>
              </w:rPr>
            </w:pPr>
            <w:r>
              <w:rPr>
                <w:rFonts w:hint="eastAsia" w:ascii="宋体" w:hAnsi="宋体" w:cs="宋体"/>
                <w:spacing w:val="-8"/>
                <w:sz w:val="24"/>
              </w:rPr>
              <w:t>项目名称</w:t>
            </w:r>
          </w:p>
        </w:tc>
        <w:tc>
          <w:tcPr>
            <w:tcW w:w="7085" w:type="dxa"/>
            <w:vAlign w:val="center"/>
          </w:tcPr>
          <w:p>
            <w:pPr>
              <w:spacing w:line="360" w:lineRule="auto"/>
              <w:jc w:val="center"/>
              <w:rPr>
                <w:rFonts w:ascii="宋体" w:hAnsi="宋体"/>
                <w:b/>
                <w:bCs/>
                <w:kern w:val="0"/>
                <w:sz w:val="24"/>
                <w:szCs w:val="21"/>
              </w:rPr>
            </w:pPr>
            <w:r>
              <w:rPr>
                <w:rFonts w:hint="eastAsia" w:ascii="宋体" w:hAnsi="宋体"/>
                <w:b/>
                <w:bCs/>
                <w:kern w:val="0"/>
                <w:sz w:val="24"/>
                <w:szCs w:val="21"/>
              </w:rPr>
              <w:t>成章卫生院高清电子肠镜配套设备采购项目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26" w:type="dxa"/>
            <w:vAlign w:val="center"/>
          </w:tcPr>
          <w:p>
            <w:pPr>
              <w:spacing w:line="360" w:lineRule="auto"/>
              <w:jc w:val="center"/>
              <w:rPr>
                <w:rFonts w:ascii="宋体" w:hAnsi="宋体" w:cs="宋体"/>
                <w:spacing w:val="-8"/>
                <w:sz w:val="24"/>
              </w:rPr>
            </w:pPr>
            <w:r>
              <w:rPr>
                <w:rFonts w:hint="eastAsia" w:ascii="宋体" w:hAnsi="宋体" w:cs="宋体"/>
                <w:spacing w:val="-8"/>
                <w:sz w:val="24"/>
              </w:rPr>
              <w:t>供应商全称</w:t>
            </w:r>
          </w:p>
        </w:tc>
        <w:tc>
          <w:tcPr>
            <w:tcW w:w="7085" w:type="dxa"/>
            <w:vAlign w:val="center"/>
          </w:tcPr>
          <w:p>
            <w:pPr>
              <w:spacing w:line="360" w:lineRule="auto"/>
              <w:rPr>
                <w:rFonts w:ascii="宋体" w:hAnsi="宋体" w:cs="宋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6" w:type="dxa"/>
            <w:vAlign w:val="center"/>
          </w:tcPr>
          <w:p>
            <w:pPr>
              <w:spacing w:line="360" w:lineRule="auto"/>
              <w:jc w:val="center"/>
              <w:rPr>
                <w:rFonts w:ascii="宋体" w:hAnsi="宋体" w:cs="宋体"/>
                <w:spacing w:val="-8"/>
                <w:sz w:val="24"/>
              </w:rPr>
            </w:pPr>
            <w:r>
              <w:rPr>
                <w:rFonts w:hint="eastAsia" w:ascii="宋体" w:hAnsi="宋体" w:cs="宋体"/>
                <w:spacing w:val="-8"/>
                <w:sz w:val="24"/>
              </w:rPr>
              <w:t>法定代表人</w:t>
            </w:r>
          </w:p>
        </w:tc>
        <w:tc>
          <w:tcPr>
            <w:tcW w:w="7085" w:type="dxa"/>
            <w:vAlign w:val="center"/>
          </w:tcPr>
          <w:p>
            <w:pPr>
              <w:spacing w:line="360" w:lineRule="auto"/>
              <w:rPr>
                <w:rFonts w:ascii="宋体" w:hAnsi="宋体" w:cs="宋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26" w:type="dxa"/>
            <w:vAlign w:val="center"/>
          </w:tcPr>
          <w:p>
            <w:pPr>
              <w:spacing w:line="360" w:lineRule="auto"/>
              <w:jc w:val="center"/>
              <w:rPr>
                <w:rFonts w:ascii="宋体" w:hAnsi="宋体" w:cs="宋体"/>
                <w:spacing w:val="-8"/>
                <w:sz w:val="24"/>
              </w:rPr>
            </w:pPr>
            <w:r>
              <w:rPr>
                <w:rFonts w:hint="eastAsia" w:ascii="宋体" w:hAnsi="宋体" w:cs="宋体"/>
                <w:spacing w:val="-8"/>
                <w:sz w:val="24"/>
              </w:rPr>
              <w:t>获取采购文件时间</w:t>
            </w:r>
          </w:p>
        </w:tc>
        <w:tc>
          <w:tcPr>
            <w:tcW w:w="7085" w:type="dxa"/>
            <w:vAlign w:val="center"/>
          </w:tcPr>
          <w:p>
            <w:pPr>
              <w:spacing w:line="360" w:lineRule="auto"/>
              <w:jc w:val="center"/>
              <w:rPr>
                <w:rFonts w:ascii="宋体" w:hAnsi="宋体" w:cs="宋体"/>
                <w:spacing w:val="-8"/>
                <w:sz w:val="24"/>
              </w:rPr>
            </w:pPr>
            <w:r>
              <w:rPr>
                <w:rFonts w:hint="eastAsia" w:ascii="宋体" w:hAnsi="宋体" w:cs="宋体"/>
                <w:spacing w:val="-8"/>
                <w:sz w:val="24"/>
              </w:rPr>
              <w:t>20</w:t>
            </w:r>
            <w:r>
              <w:rPr>
                <w:rFonts w:ascii="宋体" w:hAnsi="宋体" w:cs="宋体"/>
                <w:spacing w:val="-8"/>
                <w:sz w:val="24"/>
              </w:rPr>
              <w:t>24</w:t>
            </w:r>
            <w:r>
              <w:rPr>
                <w:rFonts w:hint="eastAsia" w:ascii="宋体" w:hAnsi="宋体" w:cs="宋体"/>
                <w:spacing w:val="-8"/>
                <w:sz w:val="24"/>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Merge w:val="restart"/>
            <w:vAlign w:val="center"/>
          </w:tcPr>
          <w:p>
            <w:pPr>
              <w:spacing w:line="360" w:lineRule="auto"/>
              <w:jc w:val="center"/>
              <w:rPr>
                <w:rFonts w:ascii="宋体" w:hAnsi="宋体" w:cs="宋体"/>
                <w:spacing w:val="-8"/>
                <w:sz w:val="24"/>
              </w:rPr>
            </w:pPr>
            <w:r>
              <w:rPr>
                <w:rFonts w:hint="eastAsia" w:ascii="宋体" w:hAnsi="宋体" w:cs="宋体"/>
                <w:spacing w:val="-8"/>
                <w:sz w:val="24"/>
              </w:rPr>
              <w:t>被授权委托人联系方法</w:t>
            </w:r>
          </w:p>
        </w:tc>
        <w:tc>
          <w:tcPr>
            <w:tcW w:w="7085" w:type="dxa"/>
            <w:vAlign w:val="center"/>
          </w:tcPr>
          <w:p>
            <w:pPr>
              <w:spacing w:line="360" w:lineRule="auto"/>
              <w:ind w:firstLine="309" w:firstLineChars="138"/>
              <w:rPr>
                <w:rFonts w:ascii="宋体" w:hAnsi="宋体" w:cs="宋体"/>
                <w:spacing w:val="-8"/>
                <w:sz w:val="24"/>
              </w:rPr>
            </w:pPr>
            <w:r>
              <w:rPr>
                <w:rFonts w:hint="eastAsia" w:ascii="宋体" w:hAnsi="宋体" w:cs="宋体"/>
                <w:spacing w:val="-8"/>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Merge w:val="continue"/>
            <w:vAlign w:val="center"/>
          </w:tcPr>
          <w:p>
            <w:pPr>
              <w:spacing w:line="360" w:lineRule="auto"/>
              <w:jc w:val="center"/>
              <w:rPr>
                <w:rFonts w:ascii="宋体" w:hAnsi="宋体" w:cs="宋体"/>
                <w:spacing w:val="-8"/>
                <w:sz w:val="24"/>
              </w:rPr>
            </w:pPr>
          </w:p>
        </w:tc>
        <w:tc>
          <w:tcPr>
            <w:tcW w:w="7085" w:type="dxa"/>
            <w:vAlign w:val="center"/>
          </w:tcPr>
          <w:p>
            <w:pPr>
              <w:spacing w:line="360" w:lineRule="auto"/>
              <w:ind w:firstLine="309" w:firstLineChars="138"/>
              <w:rPr>
                <w:rFonts w:ascii="宋体" w:hAnsi="宋体" w:cs="宋体"/>
                <w:spacing w:val="-8"/>
                <w:sz w:val="24"/>
              </w:rPr>
            </w:pPr>
            <w:r>
              <w:rPr>
                <w:rFonts w:hint="eastAsia" w:ascii="宋体" w:hAnsi="宋体" w:cs="宋体"/>
                <w:spacing w:val="-8"/>
                <w:sz w:val="24"/>
              </w:rPr>
              <w:t>第二代居民身份证号码：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Merge w:val="continue"/>
            <w:vAlign w:val="center"/>
          </w:tcPr>
          <w:p>
            <w:pPr>
              <w:spacing w:line="360" w:lineRule="auto"/>
              <w:jc w:val="center"/>
              <w:rPr>
                <w:rFonts w:ascii="宋体" w:hAnsi="宋体" w:cs="宋体"/>
                <w:spacing w:val="-8"/>
                <w:sz w:val="24"/>
              </w:rPr>
            </w:pPr>
          </w:p>
        </w:tc>
        <w:tc>
          <w:tcPr>
            <w:tcW w:w="7085" w:type="dxa"/>
            <w:vAlign w:val="center"/>
          </w:tcPr>
          <w:p>
            <w:pPr>
              <w:spacing w:line="360" w:lineRule="auto"/>
              <w:ind w:firstLine="309" w:firstLineChars="138"/>
              <w:rPr>
                <w:rFonts w:ascii="宋体" w:hAnsi="宋体" w:cs="宋体"/>
                <w:spacing w:val="-8"/>
                <w:sz w:val="24"/>
              </w:rPr>
            </w:pPr>
            <w:r>
              <w:rPr>
                <w:rFonts w:hint="eastAsia" w:ascii="宋体" w:hAnsi="宋体" w:cs="宋体"/>
                <w:spacing w:val="-8"/>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Merge w:val="continue"/>
            <w:vAlign w:val="center"/>
          </w:tcPr>
          <w:p>
            <w:pPr>
              <w:spacing w:line="360" w:lineRule="auto"/>
              <w:jc w:val="center"/>
              <w:rPr>
                <w:rFonts w:ascii="宋体" w:hAnsi="宋体" w:cs="宋体"/>
                <w:spacing w:val="-8"/>
                <w:sz w:val="24"/>
              </w:rPr>
            </w:pPr>
          </w:p>
        </w:tc>
        <w:tc>
          <w:tcPr>
            <w:tcW w:w="7085" w:type="dxa"/>
            <w:vAlign w:val="center"/>
          </w:tcPr>
          <w:p>
            <w:pPr>
              <w:spacing w:line="360" w:lineRule="auto"/>
              <w:ind w:firstLine="309" w:firstLineChars="138"/>
              <w:rPr>
                <w:rFonts w:ascii="宋体" w:hAnsi="宋体" w:cs="宋体"/>
                <w:spacing w:val="-8"/>
                <w:sz w:val="24"/>
              </w:rPr>
            </w:pPr>
            <w:r>
              <w:rPr>
                <w:rFonts w:hint="eastAsia" w:ascii="宋体" w:hAnsi="宋体" w:cs="宋体"/>
                <w:spacing w:val="-8"/>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126" w:type="dxa"/>
            <w:vAlign w:val="center"/>
          </w:tcPr>
          <w:p>
            <w:pPr>
              <w:spacing w:line="360" w:lineRule="auto"/>
              <w:jc w:val="center"/>
              <w:rPr>
                <w:rFonts w:ascii="宋体" w:hAnsi="宋体" w:cs="宋体"/>
                <w:spacing w:val="-8"/>
                <w:sz w:val="24"/>
              </w:rPr>
            </w:pPr>
            <w:r>
              <w:rPr>
                <w:rFonts w:hint="eastAsia" w:ascii="宋体" w:hAnsi="宋体" w:cs="宋体"/>
                <w:spacing w:val="-8"/>
                <w:sz w:val="24"/>
              </w:rPr>
              <w:t>单位确认</w:t>
            </w:r>
          </w:p>
        </w:tc>
        <w:tc>
          <w:tcPr>
            <w:tcW w:w="7085" w:type="dxa"/>
            <w:vAlign w:val="center"/>
          </w:tcPr>
          <w:p>
            <w:pPr>
              <w:spacing w:line="360" w:lineRule="auto"/>
              <w:jc w:val="center"/>
              <w:rPr>
                <w:rFonts w:ascii="宋体" w:hAnsi="宋体" w:cs="宋体"/>
                <w:spacing w:val="-8"/>
                <w:sz w:val="24"/>
              </w:rPr>
            </w:pPr>
            <w:r>
              <w:rPr>
                <w:rFonts w:hint="eastAsia" w:ascii="宋体" w:hAnsi="宋体" w:cs="宋体"/>
                <w:spacing w:val="-8"/>
                <w:sz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spacing w:line="360" w:lineRule="auto"/>
              <w:jc w:val="center"/>
              <w:rPr>
                <w:rFonts w:ascii="宋体" w:hAnsi="宋体" w:cs="宋体"/>
                <w:spacing w:val="-8"/>
                <w:sz w:val="24"/>
              </w:rPr>
            </w:pPr>
            <w:r>
              <w:rPr>
                <w:rFonts w:hint="eastAsia" w:ascii="宋体" w:hAnsi="宋体" w:cs="宋体"/>
                <w:spacing w:val="-8"/>
                <w:sz w:val="24"/>
              </w:rPr>
              <w:t>备注</w:t>
            </w:r>
          </w:p>
        </w:tc>
        <w:tc>
          <w:tcPr>
            <w:tcW w:w="7085" w:type="dxa"/>
            <w:vAlign w:val="center"/>
          </w:tcPr>
          <w:p>
            <w:pPr>
              <w:spacing w:line="360" w:lineRule="auto"/>
              <w:rPr>
                <w:rFonts w:ascii="宋体" w:hAnsi="宋体" w:cs="宋体"/>
                <w:spacing w:val="-8"/>
                <w:sz w:val="24"/>
              </w:rPr>
            </w:pPr>
          </w:p>
        </w:tc>
      </w:tr>
    </w:tbl>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szCs w:val="21"/>
        </w:rPr>
      </w:pPr>
      <w:r>
        <w:rPr>
          <w:rFonts w:ascii="宋体" w:hAnsi="宋体"/>
          <w:b/>
          <w:bCs/>
          <w:szCs w:val="21"/>
        </w:rPr>
        <w:t>*注：</w:t>
      </w:r>
      <w:r>
        <w:rPr>
          <w:rFonts w:hint="eastAsia" w:ascii="宋体" w:hAnsi="宋体"/>
          <w:b/>
          <w:bCs/>
          <w:szCs w:val="21"/>
        </w:rPr>
        <w:t>供应商</w:t>
      </w:r>
      <w:r>
        <w:rPr>
          <w:rFonts w:ascii="宋体" w:hAnsi="宋体"/>
          <w:b/>
          <w:bCs/>
          <w:szCs w:val="21"/>
        </w:rPr>
        <w:t>应完整填写表格，并对内容的真实性和有效性负全部责任。</w:t>
      </w:r>
    </w:p>
    <w:p>
      <w:pPr>
        <w:widowControl/>
        <w:spacing w:line="360" w:lineRule="auto"/>
        <w:jc w:val="left"/>
        <w:rPr>
          <w:rFonts w:ascii="宋体" w:hAnsi="宋体"/>
          <w:b/>
          <w:bCs/>
          <w:szCs w:val="21"/>
        </w:rPr>
      </w:pPr>
      <w:r>
        <w:rPr>
          <w:rFonts w:ascii="宋体" w:hAnsi="宋体"/>
          <w:b/>
          <w:bCs/>
          <w:szCs w:val="21"/>
        </w:rPr>
        <w:br w:type="page"/>
      </w:r>
    </w:p>
    <w:p>
      <w:pPr>
        <w:pStyle w:val="20"/>
        <w:spacing w:line="360" w:lineRule="auto"/>
        <w:rPr>
          <w:rFonts w:ascii="宋体" w:hAnsi="宋体"/>
          <w:sz w:val="28"/>
          <w:szCs w:val="28"/>
        </w:rPr>
      </w:pPr>
      <w:bookmarkStart w:id="12" w:name="_Toc393194379"/>
      <w:bookmarkStart w:id="13" w:name="_Toc165282385"/>
      <w:r>
        <w:rPr>
          <w:rFonts w:hint="eastAsia" w:ascii="宋体" w:hAnsi="宋体"/>
          <w:sz w:val="28"/>
          <w:szCs w:val="28"/>
        </w:rPr>
        <w:t>第二章  供应商须知前附表</w:t>
      </w:r>
      <w:bookmarkEnd w:id="12"/>
      <w:bookmarkEnd w:id="13"/>
    </w:p>
    <w:p>
      <w:pPr>
        <w:spacing w:line="360" w:lineRule="auto"/>
        <w:ind w:left="141" w:leftChars="67" w:firstLine="480" w:firstLineChars="200"/>
        <w:jc w:val="left"/>
        <w:rPr>
          <w:rFonts w:ascii="宋体" w:hAnsi="宋体"/>
          <w:bCs/>
          <w:sz w:val="24"/>
        </w:rPr>
      </w:pPr>
      <w:r>
        <w:rPr>
          <w:rFonts w:hint="eastAsia" w:ascii="宋体" w:hAnsi="宋体"/>
          <w:bCs/>
          <w:sz w:val="24"/>
        </w:rPr>
        <w:t>供应商应仔细阅读本磋商文件的所有内容（包括答疑、补充、澄清以及修改等），按照磋商文件要求以及格式编制响应文件，并保证其真实性，否则其一切后果自负。</w:t>
      </w:r>
    </w:p>
    <w:tbl>
      <w:tblPr>
        <w:tblStyle w:val="2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jc w:val="center"/>
        </w:trPr>
        <w:tc>
          <w:tcPr>
            <w:tcW w:w="706" w:type="dxa"/>
            <w:vAlign w:val="center"/>
          </w:tcPr>
          <w:p>
            <w:pPr>
              <w:spacing w:line="360" w:lineRule="auto"/>
              <w:jc w:val="left"/>
              <w:rPr>
                <w:rFonts w:ascii="宋体" w:hAnsi="宋体"/>
                <w:bCs/>
                <w:sz w:val="22"/>
              </w:rPr>
            </w:pPr>
            <w:r>
              <w:rPr>
                <w:rFonts w:hint="eastAsia" w:ascii="宋体" w:hAnsi="宋体"/>
                <w:bCs/>
                <w:sz w:val="22"/>
              </w:rPr>
              <w:t>序号</w:t>
            </w:r>
          </w:p>
        </w:tc>
        <w:tc>
          <w:tcPr>
            <w:tcW w:w="8759" w:type="dxa"/>
            <w:vAlign w:val="center"/>
          </w:tcPr>
          <w:p>
            <w:pPr>
              <w:spacing w:line="360" w:lineRule="auto"/>
              <w:ind w:firstLine="440" w:firstLineChars="200"/>
              <w:jc w:val="center"/>
              <w:rPr>
                <w:rFonts w:ascii="宋体" w:hAnsi="宋体"/>
                <w:bCs/>
                <w:sz w:val="22"/>
              </w:rPr>
            </w:pPr>
            <w:r>
              <w:rPr>
                <w:rFonts w:hint="eastAsia" w:ascii="宋体" w:hAnsi="宋体"/>
                <w:bCs/>
                <w:sz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jc w:val="center"/>
        </w:trPr>
        <w:tc>
          <w:tcPr>
            <w:tcW w:w="706" w:type="dxa"/>
            <w:vAlign w:val="center"/>
          </w:tcPr>
          <w:p>
            <w:pPr>
              <w:spacing w:line="360" w:lineRule="auto"/>
              <w:jc w:val="center"/>
              <w:rPr>
                <w:rFonts w:ascii="宋体" w:hAnsi="宋体"/>
                <w:bCs/>
                <w:sz w:val="22"/>
              </w:rPr>
            </w:pPr>
            <w:r>
              <w:rPr>
                <w:rFonts w:hint="eastAsia" w:ascii="宋体" w:hAnsi="宋体"/>
                <w:bCs/>
                <w:sz w:val="22"/>
              </w:rPr>
              <w:t>1</w:t>
            </w:r>
          </w:p>
        </w:tc>
        <w:tc>
          <w:tcPr>
            <w:tcW w:w="8759" w:type="dxa"/>
            <w:vAlign w:val="center"/>
          </w:tcPr>
          <w:p>
            <w:pPr>
              <w:spacing w:line="360" w:lineRule="auto"/>
              <w:rPr>
                <w:rFonts w:ascii="宋体" w:hAnsi="宋体"/>
                <w:bCs/>
                <w:sz w:val="22"/>
              </w:rPr>
            </w:pPr>
            <w:r>
              <w:rPr>
                <w:rFonts w:hint="eastAsia" w:ascii="宋体" w:hAnsi="宋体"/>
                <w:bCs/>
                <w:sz w:val="22"/>
              </w:rPr>
              <w:t>项目属性：货物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706" w:type="dxa"/>
            <w:vAlign w:val="center"/>
          </w:tcPr>
          <w:p>
            <w:pPr>
              <w:spacing w:line="360" w:lineRule="auto"/>
              <w:jc w:val="center"/>
              <w:rPr>
                <w:rFonts w:ascii="宋体" w:hAnsi="宋体"/>
                <w:bCs/>
                <w:sz w:val="22"/>
              </w:rPr>
            </w:pPr>
            <w:r>
              <w:rPr>
                <w:rFonts w:ascii="宋体" w:hAnsi="宋体"/>
                <w:bCs/>
                <w:sz w:val="22"/>
              </w:rPr>
              <w:t>2</w:t>
            </w:r>
          </w:p>
        </w:tc>
        <w:tc>
          <w:tcPr>
            <w:tcW w:w="8759" w:type="dxa"/>
            <w:vAlign w:val="center"/>
          </w:tcPr>
          <w:p>
            <w:pPr>
              <w:spacing w:line="360" w:lineRule="auto"/>
              <w:jc w:val="left"/>
              <w:rPr>
                <w:rFonts w:ascii="宋体" w:hAnsi="宋体"/>
                <w:bCs/>
                <w:sz w:val="22"/>
              </w:rPr>
            </w:pPr>
            <w:r>
              <w:rPr>
                <w:rFonts w:hint="eastAsia" w:ascii="宋体" w:hAnsi="宋体"/>
                <w:bCs/>
                <w:sz w:val="22"/>
              </w:rPr>
              <w:t>标前答疑截止时间：202</w:t>
            </w:r>
            <w:r>
              <w:rPr>
                <w:rFonts w:ascii="宋体" w:hAnsi="宋体"/>
                <w:bCs/>
                <w:sz w:val="22"/>
              </w:rPr>
              <w:t>4</w:t>
            </w:r>
            <w:r>
              <w:rPr>
                <w:rFonts w:hint="eastAsia" w:ascii="宋体" w:hAnsi="宋体"/>
                <w:bCs/>
                <w:sz w:val="22"/>
              </w:rPr>
              <w:t xml:space="preserve">年 </w:t>
            </w:r>
            <w:r>
              <w:rPr>
                <w:rFonts w:ascii="宋体" w:hAnsi="宋体"/>
                <w:bCs/>
                <w:sz w:val="22"/>
              </w:rPr>
              <w:t xml:space="preserve">5 </w:t>
            </w:r>
            <w:r>
              <w:rPr>
                <w:rFonts w:hint="eastAsia" w:ascii="宋体" w:hAnsi="宋体"/>
                <w:bCs/>
                <w:sz w:val="22"/>
              </w:rPr>
              <w:t>月2</w:t>
            </w:r>
            <w:r>
              <w:rPr>
                <w:rFonts w:hint="eastAsia" w:ascii="宋体" w:hAnsi="宋体"/>
                <w:bCs/>
                <w:sz w:val="22"/>
                <w:lang w:val="en-US" w:eastAsia="zh-CN"/>
              </w:rPr>
              <w:t>4</w:t>
            </w:r>
            <w:r>
              <w:rPr>
                <w:rFonts w:hint="eastAsia" w:ascii="宋体" w:hAnsi="宋体"/>
                <w:bCs/>
                <w:sz w:val="22"/>
              </w:rPr>
              <w:t>日11时00分</w:t>
            </w:r>
          </w:p>
          <w:p>
            <w:pPr>
              <w:spacing w:line="360" w:lineRule="auto"/>
              <w:jc w:val="left"/>
              <w:rPr>
                <w:rFonts w:ascii="宋体" w:hAnsi="宋体"/>
                <w:bCs/>
                <w:sz w:val="22"/>
              </w:rPr>
            </w:pPr>
            <w:r>
              <w:rPr>
                <w:rFonts w:hint="eastAsia" w:ascii="宋体" w:hAnsi="宋体"/>
                <w:bCs/>
                <w:sz w:val="22"/>
              </w:rPr>
              <w:t>注：任何要求对采购文件进行澄清的供应商，必须采用书面形式（加盖公章）以邮件发送至582373189@qq.com邮箱。未提出异议又参与了该项目的供应商将被视为完全认同采购文件，逾期将不接受其对于采购文件的相关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pPr>
              <w:spacing w:line="360" w:lineRule="auto"/>
              <w:jc w:val="center"/>
              <w:rPr>
                <w:rFonts w:ascii="宋体" w:hAnsi="宋体"/>
                <w:bCs/>
                <w:sz w:val="22"/>
              </w:rPr>
            </w:pPr>
            <w:r>
              <w:rPr>
                <w:rFonts w:ascii="宋体" w:hAnsi="宋体"/>
                <w:bCs/>
                <w:sz w:val="22"/>
              </w:rPr>
              <w:t>3</w:t>
            </w:r>
          </w:p>
        </w:tc>
        <w:tc>
          <w:tcPr>
            <w:tcW w:w="8759" w:type="dxa"/>
            <w:vAlign w:val="center"/>
          </w:tcPr>
          <w:p>
            <w:pPr>
              <w:spacing w:line="360" w:lineRule="auto"/>
              <w:jc w:val="left"/>
              <w:rPr>
                <w:rFonts w:ascii="宋体" w:hAnsi="宋体"/>
                <w:bCs/>
                <w:sz w:val="22"/>
              </w:rPr>
            </w:pPr>
            <w:r>
              <w:rPr>
                <w:rFonts w:hint="eastAsia" w:ascii="宋体" w:hAnsi="宋体"/>
                <w:bCs/>
                <w:sz w:val="22"/>
              </w:rPr>
              <w:t>现场勘察：不组织，由供应商自行踏勘现场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06" w:type="dxa"/>
            <w:vAlign w:val="center"/>
          </w:tcPr>
          <w:p>
            <w:pPr>
              <w:spacing w:line="360" w:lineRule="auto"/>
              <w:jc w:val="center"/>
              <w:rPr>
                <w:rFonts w:ascii="宋体" w:hAnsi="宋体"/>
                <w:bCs/>
                <w:sz w:val="22"/>
              </w:rPr>
            </w:pPr>
            <w:r>
              <w:rPr>
                <w:rFonts w:ascii="宋体" w:hAnsi="宋体"/>
                <w:bCs/>
                <w:sz w:val="22"/>
              </w:rPr>
              <w:t>4</w:t>
            </w:r>
          </w:p>
        </w:tc>
        <w:tc>
          <w:tcPr>
            <w:tcW w:w="8759" w:type="dxa"/>
            <w:vAlign w:val="center"/>
          </w:tcPr>
          <w:p>
            <w:pPr>
              <w:spacing w:line="360" w:lineRule="auto"/>
              <w:jc w:val="left"/>
              <w:rPr>
                <w:rFonts w:ascii="宋体" w:hAnsi="宋体"/>
                <w:bCs/>
                <w:sz w:val="22"/>
              </w:rPr>
            </w:pPr>
            <w:r>
              <w:rPr>
                <w:rFonts w:hint="eastAsia" w:ascii="宋体" w:hAnsi="宋体"/>
                <w:bCs/>
                <w:sz w:val="22"/>
              </w:rPr>
              <w:t>响应文件递交截止期：20</w:t>
            </w:r>
            <w:r>
              <w:rPr>
                <w:rFonts w:ascii="宋体" w:hAnsi="宋体"/>
                <w:bCs/>
                <w:sz w:val="22"/>
              </w:rPr>
              <w:t>24</w:t>
            </w:r>
            <w:r>
              <w:rPr>
                <w:rFonts w:hint="eastAsia" w:ascii="宋体" w:hAnsi="宋体"/>
                <w:bCs/>
                <w:sz w:val="22"/>
              </w:rPr>
              <w:t xml:space="preserve">年 </w:t>
            </w:r>
            <w:r>
              <w:rPr>
                <w:rFonts w:ascii="宋体" w:hAnsi="宋体"/>
                <w:bCs/>
                <w:sz w:val="22"/>
              </w:rPr>
              <w:t>5</w:t>
            </w:r>
            <w:r>
              <w:rPr>
                <w:rFonts w:hint="eastAsia" w:ascii="宋体" w:hAnsi="宋体"/>
                <w:bCs/>
                <w:sz w:val="22"/>
              </w:rPr>
              <w:t>月2</w:t>
            </w:r>
            <w:r>
              <w:rPr>
                <w:rFonts w:hint="eastAsia" w:ascii="宋体" w:hAnsi="宋体"/>
                <w:bCs/>
                <w:sz w:val="22"/>
                <w:lang w:val="en-US" w:eastAsia="zh-CN"/>
              </w:rPr>
              <w:t>7</w:t>
            </w:r>
            <w:r>
              <w:rPr>
                <w:rFonts w:hint="eastAsia" w:ascii="宋体" w:hAnsi="宋体"/>
                <w:bCs/>
                <w:sz w:val="22"/>
              </w:rPr>
              <w:t>日</w:t>
            </w:r>
            <w:r>
              <w:rPr>
                <w:rFonts w:ascii="宋体" w:hAnsi="宋体"/>
                <w:bCs/>
                <w:sz w:val="22"/>
              </w:rPr>
              <w:t>14</w:t>
            </w:r>
            <w:r>
              <w:rPr>
                <w:rFonts w:hint="eastAsia" w:ascii="宋体" w:hAnsi="宋体"/>
                <w:bCs/>
                <w:sz w:val="22"/>
              </w:rPr>
              <w:t>时</w:t>
            </w:r>
            <w:r>
              <w:rPr>
                <w:rFonts w:ascii="宋体" w:hAnsi="宋体"/>
                <w:bCs/>
                <w:sz w:val="22"/>
              </w:rPr>
              <w:t>00</w:t>
            </w:r>
            <w:r>
              <w:rPr>
                <w:rFonts w:hint="eastAsia" w:ascii="宋体" w:hAnsi="宋体"/>
                <w:bCs/>
                <w:sz w:val="22"/>
              </w:rPr>
              <w:t>分止，并在响应文件递交截止期同一时间磋商。</w:t>
            </w:r>
          </w:p>
          <w:p>
            <w:pPr>
              <w:spacing w:line="360" w:lineRule="auto"/>
              <w:jc w:val="left"/>
              <w:rPr>
                <w:rFonts w:ascii="宋体" w:hAnsi="宋体" w:cs="宋体"/>
                <w:bCs/>
                <w:sz w:val="24"/>
              </w:rPr>
            </w:pPr>
            <w:r>
              <w:rPr>
                <w:rFonts w:hint="eastAsia" w:ascii="宋体" w:hAnsi="宋体"/>
                <w:bCs/>
                <w:sz w:val="22"/>
              </w:rPr>
              <w:t>磋商地点：常州市武进区淹城丰乐坊11号—常州新禾招投标有限公司</w:t>
            </w:r>
          </w:p>
          <w:p>
            <w:pPr>
              <w:spacing w:line="360" w:lineRule="auto"/>
              <w:jc w:val="left"/>
              <w:rPr>
                <w:rFonts w:ascii="宋体" w:hAnsi="宋体"/>
                <w:bCs/>
                <w:sz w:val="22"/>
              </w:rPr>
            </w:pPr>
            <w:r>
              <w:rPr>
                <w:rFonts w:hint="eastAsia" w:ascii="宋体" w:hAnsi="宋体"/>
                <w:bCs/>
                <w:sz w:val="22"/>
              </w:rPr>
              <w:t>响应文件递交截止期后送达的响应文件恕不接受。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706" w:type="dxa"/>
            <w:vAlign w:val="center"/>
          </w:tcPr>
          <w:p>
            <w:pPr>
              <w:spacing w:line="360" w:lineRule="auto"/>
              <w:jc w:val="center"/>
              <w:rPr>
                <w:rFonts w:ascii="宋体" w:hAnsi="宋体"/>
                <w:bCs/>
                <w:sz w:val="22"/>
              </w:rPr>
            </w:pPr>
            <w:r>
              <w:rPr>
                <w:rFonts w:ascii="宋体" w:hAnsi="宋体"/>
                <w:bCs/>
                <w:sz w:val="22"/>
              </w:rPr>
              <w:t>5</w:t>
            </w:r>
          </w:p>
        </w:tc>
        <w:tc>
          <w:tcPr>
            <w:tcW w:w="8759" w:type="dxa"/>
            <w:vAlign w:val="center"/>
          </w:tcPr>
          <w:p>
            <w:pPr>
              <w:spacing w:line="360" w:lineRule="auto"/>
              <w:jc w:val="left"/>
              <w:rPr>
                <w:rFonts w:ascii="宋体" w:hAnsi="宋体"/>
                <w:bCs/>
                <w:sz w:val="22"/>
              </w:rPr>
            </w:pPr>
            <w:r>
              <w:rPr>
                <w:rFonts w:hint="eastAsia" w:ascii="宋体" w:hAnsi="宋体"/>
                <w:bCs/>
                <w:sz w:val="22"/>
              </w:rPr>
              <w:t>响应文件：正本1份、副本2份及</w:t>
            </w:r>
            <w:r>
              <w:rPr>
                <w:rFonts w:hint="eastAsia" w:ascii="宋体" w:hAnsi="宋体"/>
                <w:b/>
                <w:sz w:val="22"/>
                <w:u w:val="single"/>
              </w:rPr>
              <w:t>1份</w:t>
            </w:r>
            <w:bookmarkStart w:id="14" w:name="_Hlk66656682"/>
            <w:r>
              <w:rPr>
                <w:rFonts w:hint="eastAsia" w:ascii="宋体" w:hAnsi="宋体"/>
                <w:b/>
                <w:sz w:val="22"/>
                <w:u w:val="single"/>
              </w:rPr>
              <w:t>电子光盘或U盘</w:t>
            </w:r>
            <w:bookmarkEnd w:id="14"/>
            <w:r>
              <w:rPr>
                <w:rFonts w:hint="eastAsia" w:ascii="宋体" w:hAnsi="宋体"/>
                <w:b/>
                <w:sz w:val="22"/>
                <w:u w:val="single"/>
              </w:rPr>
              <w:t>（光盘或U盘中含全套正本响应文件</w:t>
            </w:r>
            <w:r>
              <w:rPr>
                <w:rFonts w:hint="eastAsia" w:ascii="宋体" w:hAnsi="宋体"/>
                <w:bCs/>
                <w:sz w:val="22"/>
                <w:u w:val="single"/>
              </w:rPr>
              <w:t>）</w:t>
            </w:r>
            <w:r>
              <w:rPr>
                <w:rFonts w:hint="eastAsia" w:ascii="宋体" w:hAnsi="宋体"/>
                <w:bCs/>
                <w:sz w:val="22"/>
              </w:rPr>
              <w:t>。</w:t>
            </w:r>
          </w:p>
          <w:p>
            <w:pPr>
              <w:spacing w:line="360" w:lineRule="auto"/>
              <w:jc w:val="left"/>
              <w:rPr>
                <w:rFonts w:ascii="宋体" w:hAnsi="宋体"/>
                <w:bCs/>
                <w:sz w:val="22"/>
              </w:rPr>
            </w:pPr>
            <w:r>
              <w:rPr>
                <w:rFonts w:hint="eastAsia" w:ascii="宋体" w:hAnsi="宋体"/>
                <w:bCs/>
                <w:sz w:val="22"/>
              </w:rPr>
              <w:t>响应文件的密封、签署、盖章要求：见第三章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6" w:type="dxa"/>
            <w:vAlign w:val="center"/>
          </w:tcPr>
          <w:p>
            <w:pPr>
              <w:spacing w:line="360" w:lineRule="auto"/>
              <w:jc w:val="center"/>
              <w:rPr>
                <w:rFonts w:ascii="宋体" w:hAnsi="宋体"/>
                <w:bCs/>
                <w:sz w:val="22"/>
              </w:rPr>
            </w:pPr>
            <w:r>
              <w:rPr>
                <w:rFonts w:ascii="宋体" w:hAnsi="宋体"/>
                <w:bCs/>
                <w:sz w:val="22"/>
              </w:rPr>
              <w:t>6</w:t>
            </w:r>
          </w:p>
        </w:tc>
        <w:tc>
          <w:tcPr>
            <w:tcW w:w="8759" w:type="dxa"/>
            <w:vAlign w:val="center"/>
          </w:tcPr>
          <w:p>
            <w:pPr>
              <w:spacing w:line="360" w:lineRule="auto"/>
              <w:jc w:val="left"/>
              <w:rPr>
                <w:rFonts w:ascii="宋体" w:hAnsi="宋体"/>
                <w:bCs/>
                <w:sz w:val="22"/>
              </w:rPr>
            </w:pPr>
            <w:r>
              <w:rPr>
                <w:rFonts w:hint="eastAsia" w:ascii="宋体" w:hAnsi="宋体"/>
                <w:bCs/>
                <w:sz w:val="22"/>
              </w:rPr>
              <w:t>投标有效期：磋商开始后45天。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6" w:type="dxa"/>
            <w:vAlign w:val="center"/>
          </w:tcPr>
          <w:p>
            <w:pPr>
              <w:spacing w:line="360" w:lineRule="auto"/>
              <w:jc w:val="center"/>
              <w:rPr>
                <w:rFonts w:ascii="宋体" w:hAnsi="宋体"/>
                <w:bCs/>
                <w:sz w:val="22"/>
              </w:rPr>
            </w:pPr>
            <w:r>
              <w:rPr>
                <w:rFonts w:ascii="宋体" w:hAnsi="宋体"/>
                <w:bCs/>
                <w:sz w:val="22"/>
              </w:rPr>
              <w:t>7</w:t>
            </w:r>
          </w:p>
        </w:tc>
        <w:tc>
          <w:tcPr>
            <w:tcW w:w="8759" w:type="dxa"/>
            <w:vAlign w:val="center"/>
          </w:tcPr>
          <w:p>
            <w:pPr>
              <w:spacing w:line="360" w:lineRule="auto"/>
              <w:jc w:val="left"/>
              <w:rPr>
                <w:rFonts w:ascii="宋体" w:hAnsi="宋体"/>
                <w:bCs/>
                <w:sz w:val="22"/>
              </w:rPr>
            </w:pPr>
            <w:r>
              <w:rPr>
                <w:rFonts w:hint="eastAsia" w:ascii="宋体" w:hAnsi="宋体"/>
                <w:bCs/>
                <w:sz w:val="22"/>
              </w:rPr>
              <w:t>资格审查要求：详见响应文件的格式。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06" w:type="dxa"/>
            <w:vAlign w:val="center"/>
          </w:tcPr>
          <w:p>
            <w:pPr>
              <w:spacing w:line="360" w:lineRule="auto"/>
              <w:jc w:val="center"/>
              <w:rPr>
                <w:rFonts w:ascii="宋体" w:hAnsi="宋体"/>
                <w:bCs/>
                <w:sz w:val="22"/>
              </w:rPr>
            </w:pPr>
            <w:r>
              <w:rPr>
                <w:rFonts w:ascii="宋体" w:hAnsi="宋体"/>
                <w:bCs/>
                <w:sz w:val="22"/>
              </w:rPr>
              <w:t>8</w:t>
            </w:r>
          </w:p>
        </w:tc>
        <w:tc>
          <w:tcPr>
            <w:tcW w:w="8759" w:type="dxa"/>
            <w:vAlign w:val="center"/>
          </w:tcPr>
          <w:p>
            <w:pPr>
              <w:spacing w:line="360" w:lineRule="auto"/>
              <w:jc w:val="left"/>
              <w:rPr>
                <w:rFonts w:ascii="宋体" w:hAnsi="宋体"/>
                <w:bCs/>
                <w:sz w:val="22"/>
              </w:rPr>
            </w:pPr>
            <w:r>
              <w:rPr>
                <w:rFonts w:hint="eastAsia" w:ascii="宋体" w:hAnsi="宋体"/>
                <w:bCs/>
                <w:sz w:val="22"/>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6" w:type="dxa"/>
            <w:vAlign w:val="center"/>
          </w:tcPr>
          <w:p>
            <w:pPr>
              <w:spacing w:line="360" w:lineRule="auto"/>
              <w:jc w:val="center"/>
              <w:rPr>
                <w:rFonts w:ascii="宋体" w:hAnsi="宋体"/>
                <w:bCs/>
                <w:sz w:val="22"/>
              </w:rPr>
            </w:pPr>
            <w:r>
              <w:rPr>
                <w:rFonts w:ascii="宋体" w:hAnsi="宋体"/>
                <w:bCs/>
                <w:sz w:val="22"/>
              </w:rPr>
              <w:t>9</w:t>
            </w:r>
          </w:p>
        </w:tc>
        <w:tc>
          <w:tcPr>
            <w:tcW w:w="8759" w:type="dxa"/>
            <w:vAlign w:val="center"/>
          </w:tcPr>
          <w:p>
            <w:pPr>
              <w:spacing w:line="360" w:lineRule="auto"/>
              <w:jc w:val="left"/>
              <w:rPr>
                <w:rFonts w:ascii="宋体" w:hAnsi="宋体"/>
                <w:bCs/>
                <w:sz w:val="22"/>
              </w:rPr>
            </w:pPr>
            <w:r>
              <w:rPr>
                <w:rFonts w:hint="eastAsia" w:ascii="宋体" w:hAnsi="宋体"/>
                <w:bCs/>
                <w:sz w:val="22"/>
              </w:rPr>
              <w:t>履约保证金：不需提供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6" w:type="dxa"/>
            <w:vAlign w:val="center"/>
          </w:tcPr>
          <w:p>
            <w:pPr>
              <w:spacing w:line="360" w:lineRule="auto"/>
              <w:jc w:val="center"/>
              <w:rPr>
                <w:rFonts w:ascii="宋体" w:hAnsi="宋体"/>
                <w:bCs/>
                <w:sz w:val="22"/>
              </w:rPr>
            </w:pPr>
            <w:r>
              <w:rPr>
                <w:rFonts w:ascii="宋体" w:hAnsi="宋体"/>
                <w:bCs/>
                <w:sz w:val="22"/>
              </w:rPr>
              <w:t>10</w:t>
            </w:r>
          </w:p>
        </w:tc>
        <w:tc>
          <w:tcPr>
            <w:tcW w:w="8759" w:type="dxa"/>
            <w:vAlign w:val="center"/>
          </w:tcPr>
          <w:p>
            <w:pPr>
              <w:snapToGrid w:val="0"/>
              <w:spacing w:line="360" w:lineRule="auto"/>
              <w:jc w:val="left"/>
              <w:rPr>
                <w:rFonts w:ascii="宋体" w:hAnsi="宋体"/>
                <w:bCs/>
                <w:sz w:val="22"/>
              </w:rPr>
            </w:pPr>
            <w:r>
              <w:rPr>
                <w:rFonts w:hint="eastAsia" w:ascii="宋体" w:hAnsi="宋体"/>
                <w:sz w:val="22"/>
                <w:lang w:val="zh-CN"/>
              </w:rPr>
              <w:t>磋商报价次数：</w:t>
            </w:r>
            <w:r>
              <w:rPr>
                <w:rFonts w:hint="eastAsia" w:ascii="宋体" w:hAnsi="宋体" w:cs="宋体"/>
                <w:b/>
                <w:bCs/>
                <w:szCs w:val="21"/>
              </w:rPr>
              <w:t>2次，其中首轮报价为响应文件中的报价，在资格审查、符合性评审、磋商结束后，所有符合继续参加磋商条件的供应商在规定时间内提交最终报价（即第二轮报价，此次只报总价），提交的最终报价（第二轮报价）不得高于供应商的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06" w:type="dxa"/>
            <w:vAlign w:val="center"/>
          </w:tcPr>
          <w:p>
            <w:pPr>
              <w:spacing w:line="360" w:lineRule="auto"/>
              <w:jc w:val="center"/>
              <w:rPr>
                <w:rFonts w:ascii="宋体" w:hAnsi="宋体"/>
                <w:bCs/>
                <w:sz w:val="22"/>
              </w:rPr>
            </w:pPr>
            <w:r>
              <w:rPr>
                <w:rFonts w:hint="eastAsia" w:ascii="宋体" w:hAnsi="宋体"/>
                <w:bCs/>
                <w:sz w:val="22"/>
              </w:rPr>
              <w:t>1</w:t>
            </w:r>
            <w:r>
              <w:rPr>
                <w:rFonts w:ascii="宋体" w:hAnsi="宋体"/>
                <w:bCs/>
                <w:sz w:val="22"/>
              </w:rPr>
              <w:t>1</w:t>
            </w:r>
          </w:p>
        </w:tc>
        <w:tc>
          <w:tcPr>
            <w:tcW w:w="8759" w:type="dxa"/>
            <w:vAlign w:val="center"/>
          </w:tcPr>
          <w:p>
            <w:pPr>
              <w:snapToGrid w:val="0"/>
              <w:spacing w:line="360" w:lineRule="auto"/>
              <w:rPr>
                <w:rFonts w:ascii="宋体" w:hAnsi="宋体"/>
                <w:sz w:val="22"/>
                <w:lang w:val="zh-CN"/>
              </w:rPr>
            </w:pPr>
            <w:r>
              <w:rPr>
                <w:rFonts w:hint="eastAsia" w:ascii="宋体" w:hAnsi="宋体"/>
                <w:sz w:val="22"/>
              </w:rPr>
              <w:t>本项目最高限价：详见磋商公告。</w:t>
            </w:r>
          </w:p>
        </w:tc>
      </w:tr>
    </w:tbl>
    <w:p>
      <w:pPr>
        <w:widowControl/>
        <w:spacing w:line="360" w:lineRule="auto"/>
        <w:jc w:val="left"/>
        <w:rPr>
          <w:rFonts w:ascii="宋体" w:hAnsi="宋体"/>
          <w:szCs w:val="21"/>
        </w:rPr>
      </w:pPr>
      <w:r>
        <w:rPr>
          <w:rFonts w:ascii="宋体" w:hAnsi="宋体"/>
          <w:szCs w:val="21"/>
        </w:rPr>
        <w:br w:type="page"/>
      </w:r>
    </w:p>
    <w:p>
      <w:pPr>
        <w:pStyle w:val="20"/>
        <w:spacing w:line="360" w:lineRule="auto"/>
        <w:rPr>
          <w:rFonts w:ascii="宋体" w:hAnsi="宋体"/>
          <w:sz w:val="28"/>
          <w:szCs w:val="28"/>
        </w:rPr>
      </w:pPr>
      <w:bookmarkStart w:id="15" w:name="_Toc165282386"/>
      <w:r>
        <w:rPr>
          <w:rFonts w:hint="eastAsia" w:ascii="宋体" w:hAnsi="宋体"/>
          <w:sz w:val="28"/>
          <w:szCs w:val="28"/>
        </w:rPr>
        <w:t>第三章  供应商须知</w:t>
      </w:r>
      <w:bookmarkEnd w:id="15"/>
    </w:p>
    <w:p>
      <w:pPr>
        <w:pStyle w:val="20"/>
        <w:spacing w:line="360" w:lineRule="auto"/>
        <w:outlineLvl w:val="1"/>
        <w:rPr>
          <w:rFonts w:ascii="宋体" w:hAnsi="宋体"/>
          <w:sz w:val="24"/>
          <w:szCs w:val="24"/>
        </w:rPr>
      </w:pPr>
      <w:bookmarkStart w:id="16" w:name="_Toc165282387"/>
      <w:r>
        <w:rPr>
          <w:rFonts w:hint="eastAsia" w:ascii="宋体" w:hAnsi="宋体"/>
          <w:sz w:val="24"/>
          <w:szCs w:val="24"/>
        </w:rPr>
        <w:t>一、总则</w:t>
      </w:r>
      <w:bookmarkEnd w:id="16"/>
    </w:p>
    <w:p>
      <w:pPr>
        <w:snapToGrid w:val="0"/>
        <w:spacing w:line="360" w:lineRule="auto"/>
        <w:ind w:firstLine="482" w:firstLineChars="200"/>
        <w:rPr>
          <w:rFonts w:ascii="宋体" w:hAnsi="宋体"/>
          <w:b/>
          <w:sz w:val="24"/>
        </w:rPr>
      </w:pPr>
      <w:r>
        <w:rPr>
          <w:rFonts w:hint="eastAsia" w:ascii="宋体" w:hAnsi="宋体"/>
          <w:b/>
          <w:sz w:val="24"/>
        </w:rPr>
        <w:t>（一）当事人</w:t>
      </w:r>
    </w:p>
    <w:p>
      <w:pPr>
        <w:widowControl/>
        <w:snapToGrid w:val="0"/>
        <w:spacing w:line="360" w:lineRule="auto"/>
        <w:ind w:firstLine="480" w:firstLineChars="200"/>
        <w:rPr>
          <w:rFonts w:ascii="宋体" w:hAnsi="宋体"/>
          <w:kern w:val="0"/>
          <w:sz w:val="24"/>
        </w:rPr>
      </w:pPr>
      <w:r>
        <w:rPr>
          <w:rFonts w:ascii="宋体" w:hAnsi="宋体"/>
          <w:sz w:val="24"/>
        </w:rPr>
        <w:t>1</w:t>
      </w:r>
      <w:r>
        <w:rPr>
          <w:rFonts w:hint="eastAsia" w:ascii="宋体" w:hAnsi="宋体"/>
          <w:sz w:val="24"/>
        </w:rPr>
        <w:t>、采购人：系指</w:t>
      </w:r>
      <w:r>
        <w:rPr>
          <w:rFonts w:hint="eastAsia" w:ascii="宋体" w:hAnsi="宋体" w:cs="宋体"/>
          <w:kern w:val="0"/>
          <w:sz w:val="24"/>
          <w:u w:val="single"/>
        </w:rPr>
        <w:t>详见公告</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、供应商：是指响应邀请且符合磋商文件规定的资格条件和参加磋商的竞争的法人、其他组织或者自然人。</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、采购机构：系指常州新禾招投标有限公司。</w:t>
      </w:r>
    </w:p>
    <w:p>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、评审委员会：系指根据相关法律法规以及规定，由采购人代表和有关专家组成以确定成交供应商或者推荐成交候选人的临时组织。</w:t>
      </w:r>
    </w:p>
    <w:p>
      <w:pPr>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、成交供应商：系指通过竞争性磋商，经评审委员会评审确定的符合采购需求、质量和服务要求，并对磋商文件做出实质性响应，取得与采购人签订合同资格的供应商。</w:t>
      </w:r>
    </w:p>
    <w:p>
      <w:pPr>
        <w:snapToGrid w:val="0"/>
        <w:spacing w:line="360" w:lineRule="auto"/>
        <w:ind w:firstLine="482" w:firstLineChars="200"/>
        <w:rPr>
          <w:rFonts w:ascii="宋体" w:hAnsi="宋体"/>
          <w:sz w:val="24"/>
        </w:rPr>
      </w:pPr>
      <w:r>
        <w:rPr>
          <w:rFonts w:hint="eastAsia" w:ascii="宋体" w:hAnsi="宋体"/>
          <w:b/>
          <w:sz w:val="24"/>
        </w:rPr>
        <w:t>（二）参照依据及原则</w:t>
      </w:r>
    </w:p>
    <w:p>
      <w:pPr>
        <w:snapToGrid w:val="0"/>
        <w:spacing w:line="360" w:lineRule="auto"/>
        <w:ind w:firstLine="480" w:firstLineChars="200"/>
        <w:rPr>
          <w:rFonts w:ascii="宋体" w:hAnsi="宋体"/>
          <w:sz w:val="24"/>
          <w:lang w:val="zh-CN"/>
        </w:rPr>
      </w:pPr>
      <w:r>
        <w:rPr>
          <w:rFonts w:ascii="宋体" w:hAnsi="宋体"/>
          <w:sz w:val="24"/>
        </w:rPr>
        <w:t>1</w:t>
      </w:r>
      <w:r>
        <w:rPr>
          <w:rFonts w:hint="eastAsia" w:ascii="宋体" w:hAnsi="宋体"/>
          <w:sz w:val="24"/>
        </w:rPr>
        <w:t>、</w:t>
      </w:r>
      <w:r>
        <w:rPr>
          <w:rFonts w:hint="eastAsia" w:ascii="宋体" w:hAnsi="宋体"/>
          <w:sz w:val="24"/>
          <w:lang w:val="zh-CN"/>
        </w:rPr>
        <w:t>《中华人民共和国政府采购法》；</w:t>
      </w:r>
    </w:p>
    <w:p>
      <w:pPr>
        <w:snapToGrid w:val="0"/>
        <w:spacing w:line="360" w:lineRule="auto"/>
        <w:ind w:firstLine="480" w:firstLineChars="200"/>
        <w:rPr>
          <w:rFonts w:ascii="宋体" w:hAnsi="宋体"/>
          <w:sz w:val="24"/>
          <w:lang w:val="zh-CN"/>
        </w:rPr>
      </w:pPr>
      <w:r>
        <w:rPr>
          <w:rFonts w:ascii="宋体" w:hAnsi="宋体"/>
          <w:sz w:val="24"/>
        </w:rPr>
        <w:t>2</w:t>
      </w:r>
      <w:r>
        <w:rPr>
          <w:rFonts w:hint="eastAsia" w:ascii="宋体" w:hAnsi="宋体"/>
          <w:sz w:val="24"/>
        </w:rPr>
        <w:t>、</w:t>
      </w:r>
      <w:r>
        <w:rPr>
          <w:rFonts w:hint="eastAsia" w:ascii="宋体" w:hAnsi="宋体"/>
          <w:sz w:val="24"/>
          <w:lang w:val="zh-CN"/>
        </w:rPr>
        <w:t>《中华人民共和国民法典》；</w:t>
      </w:r>
    </w:p>
    <w:p>
      <w:pPr>
        <w:snapToGrid w:val="0"/>
        <w:spacing w:line="360" w:lineRule="auto"/>
        <w:ind w:firstLine="480" w:firstLineChars="200"/>
        <w:rPr>
          <w:rFonts w:ascii="宋体" w:hAnsi="宋体" w:cs="宋体"/>
          <w:bCs/>
          <w:sz w:val="24"/>
          <w:lang w:val="zh-CN"/>
        </w:rPr>
      </w:pPr>
      <w:r>
        <w:rPr>
          <w:rFonts w:hint="eastAsia" w:ascii="宋体" w:hAnsi="宋体" w:cs="宋体"/>
          <w:bCs/>
          <w:sz w:val="24"/>
          <w:lang w:val="zh-CN"/>
        </w:rPr>
        <w:t>3、《</w:t>
      </w:r>
      <w:r>
        <w:rPr>
          <w:rFonts w:hint="eastAsia" w:ascii="宋体" w:hAnsi="宋体"/>
          <w:sz w:val="24"/>
          <w:lang w:val="zh-CN"/>
        </w:rPr>
        <w:t>中华人民共和国</w:t>
      </w:r>
      <w:r>
        <w:rPr>
          <w:rFonts w:hint="eastAsia" w:ascii="宋体" w:hAnsi="宋体" w:cs="宋体"/>
          <w:bCs/>
          <w:sz w:val="24"/>
        </w:rPr>
        <w:t>政府采购法实施条例</w:t>
      </w:r>
      <w:r>
        <w:rPr>
          <w:rFonts w:hint="eastAsia" w:ascii="宋体" w:hAnsi="宋体" w:cs="宋体"/>
          <w:bCs/>
          <w:sz w:val="24"/>
          <w:lang w:val="zh-CN"/>
        </w:rPr>
        <w:t>》；</w:t>
      </w:r>
    </w:p>
    <w:p>
      <w:pPr>
        <w:snapToGrid w:val="0"/>
        <w:spacing w:line="360" w:lineRule="auto"/>
        <w:ind w:firstLine="480" w:firstLineChars="200"/>
        <w:rPr>
          <w:rFonts w:ascii="宋体" w:hAnsi="宋体"/>
          <w:sz w:val="24"/>
          <w:lang w:val="zh-CN"/>
        </w:rPr>
      </w:pPr>
      <w:r>
        <w:rPr>
          <w:rFonts w:ascii="宋体" w:hAnsi="宋体"/>
          <w:sz w:val="24"/>
        </w:rPr>
        <w:t>4</w:t>
      </w:r>
      <w:r>
        <w:rPr>
          <w:rFonts w:hint="eastAsia" w:ascii="宋体" w:hAnsi="宋体"/>
          <w:sz w:val="24"/>
        </w:rPr>
        <w:t>、</w:t>
      </w:r>
      <w:r>
        <w:rPr>
          <w:rFonts w:hint="eastAsia" w:ascii="宋体" w:hAnsi="宋体"/>
          <w:sz w:val="24"/>
          <w:lang w:val="zh-CN"/>
        </w:rPr>
        <w:t>《政府采购竞争性磋商采购人式管理暂行办法》；</w:t>
      </w:r>
    </w:p>
    <w:p>
      <w:pPr>
        <w:snapToGrid w:val="0"/>
        <w:spacing w:line="360" w:lineRule="auto"/>
        <w:ind w:firstLine="480" w:firstLineChars="200"/>
        <w:rPr>
          <w:rFonts w:ascii="宋体" w:hAnsi="宋体"/>
          <w:sz w:val="24"/>
          <w:lang w:val="zh-CN"/>
        </w:rPr>
      </w:pPr>
      <w:r>
        <w:rPr>
          <w:rFonts w:ascii="宋体" w:hAnsi="宋体"/>
          <w:sz w:val="24"/>
          <w:lang w:val="zh-CN"/>
        </w:rPr>
        <w:t>5</w:t>
      </w:r>
      <w:r>
        <w:rPr>
          <w:rFonts w:hint="eastAsia" w:ascii="宋体" w:hAnsi="宋体"/>
          <w:sz w:val="24"/>
          <w:lang w:val="zh-CN"/>
        </w:rPr>
        <w:t>、《财政部关于竞争性磋商采购方式管理暂行办法有关问题的补充通知》</w:t>
      </w:r>
    </w:p>
    <w:p>
      <w:pPr>
        <w:snapToGrid w:val="0"/>
        <w:spacing w:line="360" w:lineRule="auto"/>
        <w:ind w:firstLine="480" w:firstLineChars="200"/>
        <w:rPr>
          <w:rFonts w:ascii="宋体" w:hAnsi="宋体"/>
          <w:sz w:val="24"/>
          <w:lang w:val="zh-CN"/>
        </w:rPr>
      </w:pPr>
      <w:r>
        <w:rPr>
          <w:rFonts w:ascii="宋体" w:hAnsi="宋体"/>
          <w:sz w:val="24"/>
          <w:lang w:val="zh-CN"/>
        </w:rPr>
        <w:t>6</w:t>
      </w:r>
      <w:r>
        <w:rPr>
          <w:rFonts w:hint="eastAsia" w:ascii="宋体" w:hAnsi="宋体"/>
          <w:sz w:val="24"/>
          <w:lang w:val="zh-CN"/>
        </w:rPr>
        <w:t>、《政府采购供应商投诉处理办法》；</w:t>
      </w:r>
    </w:p>
    <w:p>
      <w:pPr>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、《江苏省政府采购供应商监督管理暂行办法》；</w:t>
      </w:r>
    </w:p>
    <w:p>
      <w:pPr>
        <w:snapToGrid w:val="0"/>
        <w:spacing w:line="360" w:lineRule="auto"/>
        <w:ind w:firstLine="480" w:firstLineChars="200"/>
        <w:rPr>
          <w:rFonts w:ascii="宋体" w:hAnsi="宋体"/>
          <w:sz w:val="24"/>
          <w:lang w:val="zh-CN"/>
        </w:rPr>
      </w:pPr>
      <w:r>
        <w:rPr>
          <w:rFonts w:ascii="宋体" w:hAnsi="宋体"/>
          <w:sz w:val="24"/>
        </w:rPr>
        <w:t>8</w:t>
      </w:r>
      <w:r>
        <w:rPr>
          <w:rFonts w:hint="eastAsia" w:ascii="宋体" w:hAnsi="宋体"/>
          <w:sz w:val="24"/>
          <w:lang w:val="zh-CN"/>
        </w:rPr>
        <w:t>、其他有关法律、行政法规以及省、市、区规范性文件规定。</w:t>
      </w:r>
    </w:p>
    <w:p>
      <w:pPr>
        <w:pStyle w:val="20"/>
        <w:spacing w:line="360" w:lineRule="auto"/>
        <w:outlineLvl w:val="1"/>
        <w:rPr>
          <w:rFonts w:ascii="宋体" w:hAnsi="宋体"/>
          <w:sz w:val="24"/>
          <w:szCs w:val="24"/>
        </w:rPr>
      </w:pPr>
      <w:bookmarkStart w:id="17" w:name="_Toc165282388"/>
      <w:r>
        <w:rPr>
          <w:rFonts w:hint="eastAsia" w:ascii="宋体" w:hAnsi="宋体"/>
          <w:sz w:val="24"/>
          <w:szCs w:val="24"/>
        </w:rPr>
        <w:t>二、磋商文件</w:t>
      </w:r>
      <w:bookmarkEnd w:id="17"/>
    </w:p>
    <w:p>
      <w:pPr>
        <w:snapToGrid w:val="0"/>
        <w:spacing w:line="360" w:lineRule="auto"/>
        <w:ind w:firstLine="482" w:firstLineChars="200"/>
        <w:rPr>
          <w:rFonts w:ascii="宋体" w:hAnsi="宋体" w:cs="楷体_GB2312"/>
          <w:b/>
          <w:sz w:val="24"/>
        </w:rPr>
      </w:pPr>
      <w:r>
        <w:rPr>
          <w:rFonts w:hint="eastAsia" w:ascii="宋体" w:hAnsi="宋体" w:cs="楷体_GB2312"/>
          <w:b/>
          <w:sz w:val="24"/>
        </w:rPr>
        <w:t>（三）磋商文件</w:t>
      </w:r>
    </w:p>
    <w:p>
      <w:pPr>
        <w:snapToGrid w:val="0"/>
        <w:spacing w:line="360" w:lineRule="auto"/>
        <w:ind w:firstLine="480" w:firstLineChars="200"/>
        <w:rPr>
          <w:rFonts w:ascii="宋体" w:hAnsi="宋体" w:cs="楷体_GB2312"/>
          <w:sz w:val="24"/>
        </w:rPr>
      </w:pPr>
      <w:r>
        <w:rPr>
          <w:rFonts w:ascii="宋体" w:hAnsi="宋体" w:cs="楷体_GB2312"/>
          <w:sz w:val="24"/>
        </w:rPr>
        <w:t>1</w:t>
      </w:r>
      <w:r>
        <w:rPr>
          <w:rFonts w:hint="eastAsia" w:ascii="宋体" w:hAnsi="宋体" w:cs="楷体_GB2312"/>
          <w:sz w:val="24"/>
        </w:rPr>
        <w:t>、磋商文件包括本文件目录所列全部内容及相关补充、澄清和修正文件，供应商应仔细阅读，并在响应文件中充分反映磋商文件的所有要求。</w:t>
      </w:r>
    </w:p>
    <w:p>
      <w:pPr>
        <w:snapToGrid w:val="0"/>
        <w:spacing w:line="360" w:lineRule="auto"/>
        <w:ind w:firstLine="480" w:firstLineChars="200"/>
        <w:rPr>
          <w:rFonts w:ascii="宋体" w:hAnsi="宋体" w:cs="楷体_GB2312"/>
          <w:sz w:val="24"/>
        </w:rPr>
      </w:pPr>
      <w:r>
        <w:rPr>
          <w:rFonts w:ascii="宋体" w:hAnsi="宋体" w:cs="楷体_GB2312"/>
          <w:sz w:val="24"/>
        </w:rPr>
        <w:t>2</w:t>
      </w:r>
      <w:r>
        <w:rPr>
          <w:rFonts w:hint="eastAsia" w:ascii="宋体" w:hAnsi="宋体" w:cs="楷体_GB2312"/>
          <w:sz w:val="24"/>
        </w:rPr>
        <w:t>、供应商应领取磋商文件及有关资料，按磋商文件要求提交资料并对磋商文件各项内容做出实质性响应，供应商应自行承担责任，并可能导致其响应文件被拒绝。</w:t>
      </w:r>
    </w:p>
    <w:p>
      <w:pPr>
        <w:snapToGrid w:val="0"/>
        <w:spacing w:line="360" w:lineRule="auto"/>
        <w:ind w:firstLine="480" w:firstLineChars="200"/>
        <w:rPr>
          <w:rFonts w:ascii="宋体" w:hAnsi="宋体" w:cs="楷体_GB2312"/>
          <w:sz w:val="24"/>
        </w:rPr>
      </w:pPr>
      <w:r>
        <w:rPr>
          <w:rFonts w:ascii="宋体" w:hAnsi="宋体" w:cs="楷体_GB2312"/>
          <w:sz w:val="24"/>
        </w:rPr>
        <w:t>3</w:t>
      </w:r>
      <w:r>
        <w:rPr>
          <w:rFonts w:hint="eastAsia" w:ascii="宋体" w:hAnsi="宋体" w:cs="楷体_GB2312"/>
          <w:sz w:val="24"/>
        </w:rPr>
        <w:t>、供应商一旦参加本项目，即被认为接受了本磋商文件中的所有条件和规定。</w:t>
      </w:r>
    </w:p>
    <w:p>
      <w:pPr>
        <w:snapToGrid w:val="0"/>
        <w:spacing w:line="360" w:lineRule="auto"/>
        <w:ind w:firstLine="480" w:firstLineChars="200"/>
        <w:rPr>
          <w:rFonts w:ascii="宋体" w:hAnsi="宋体" w:cs="楷体_GB2312"/>
          <w:sz w:val="24"/>
        </w:rPr>
      </w:pPr>
      <w:r>
        <w:rPr>
          <w:rFonts w:ascii="宋体" w:hAnsi="宋体" w:cs="楷体_GB2312"/>
          <w:sz w:val="24"/>
        </w:rPr>
        <w:t>4</w:t>
      </w:r>
      <w:r>
        <w:rPr>
          <w:rFonts w:hint="eastAsia" w:ascii="宋体" w:hAnsi="宋体" w:cs="楷体_GB2312"/>
          <w:sz w:val="24"/>
        </w:rPr>
        <w:t>、磋商文件仅作为本次采购使用。</w:t>
      </w:r>
    </w:p>
    <w:p>
      <w:pPr>
        <w:snapToGrid w:val="0"/>
        <w:spacing w:line="360" w:lineRule="auto"/>
        <w:ind w:firstLine="482" w:firstLineChars="200"/>
        <w:rPr>
          <w:rFonts w:ascii="宋体" w:hAnsi="宋体" w:cs="楷体_GB2312"/>
          <w:sz w:val="24"/>
        </w:rPr>
      </w:pPr>
      <w:r>
        <w:rPr>
          <w:rFonts w:hint="eastAsia" w:ascii="宋体" w:hAnsi="宋体" w:cs="楷体_GB2312"/>
          <w:b/>
          <w:sz w:val="24"/>
        </w:rPr>
        <w:t>（四）磋商文件的解释</w:t>
      </w:r>
      <w:r>
        <w:rPr>
          <w:rFonts w:ascii="宋体" w:hAnsi="宋体" w:cs="楷体_GB2312"/>
          <w:sz w:val="24"/>
        </w:rPr>
        <w:tab/>
      </w:r>
    </w:p>
    <w:p>
      <w:pPr>
        <w:tabs>
          <w:tab w:val="left" w:pos="2307"/>
        </w:tabs>
        <w:snapToGrid w:val="0"/>
        <w:spacing w:line="360" w:lineRule="auto"/>
        <w:ind w:firstLine="482" w:firstLineChars="200"/>
        <w:rPr>
          <w:rFonts w:ascii="宋体" w:hAnsi="宋体"/>
          <w:sz w:val="24"/>
        </w:rPr>
      </w:pPr>
      <w:r>
        <w:rPr>
          <w:rFonts w:ascii="宋体" w:hAnsi="宋体" w:cs="楷体_GB2312"/>
          <w:b/>
          <w:sz w:val="24"/>
        </w:rPr>
        <w:t>1</w:t>
      </w:r>
      <w:r>
        <w:rPr>
          <w:rFonts w:hint="eastAsia" w:ascii="宋体" w:hAnsi="宋体" w:cs="楷体_GB2312"/>
          <w:b/>
          <w:sz w:val="24"/>
        </w:rPr>
        <w:t>、现场勘察：报名后即可去现场勘查。勘察前，供应商可与采购人联系后踏勘现场。以便充分了解现场条件及获取编制响应文件和签署合同所需的信息，请务必对项目现场进行仔细认真地查勘，在随后的采购中，对现场资料和数据所作出的推论、解释和结论及由此造成的后果由供应商承担。勘察现场所发生的费用和风险由供应商自己承担，联系人及联系方式详见“第一章 竞争性磋商公告”。</w:t>
      </w:r>
    </w:p>
    <w:p>
      <w:pPr>
        <w:tabs>
          <w:tab w:val="left" w:pos="2307"/>
        </w:tabs>
        <w:snapToGrid w:val="0"/>
        <w:spacing w:line="360" w:lineRule="auto"/>
        <w:ind w:firstLine="482" w:firstLineChars="200"/>
        <w:rPr>
          <w:rFonts w:ascii="宋体" w:hAnsi="宋体" w:cs="宋体"/>
          <w:bCs/>
          <w:sz w:val="24"/>
        </w:rPr>
      </w:pPr>
      <w:r>
        <w:rPr>
          <w:rFonts w:ascii="宋体" w:hAnsi="宋体" w:cs="楷体_GB2312"/>
          <w:b/>
          <w:sz w:val="24"/>
        </w:rPr>
        <w:t>2</w:t>
      </w:r>
      <w:r>
        <w:rPr>
          <w:rFonts w:hint="eastAsia" w:ascii="宋体" w:hAnsi="宋体" w:cs="楷体_GB2312"/>
          <w:b/>
          <w:sz w:val="24"/>
        </w:rPr>
        <w:t>、答疑：</w:t>
      </w:r>
      <w:r>
        <w:rPr>
          <w:rFonts w:hint="eastAsia" w:ascii="宋体" w:hAnsi="宋体" w:cs="宋体"/>
          <w:bCs/>
          <w:sz w:val="24"/>
        </w:rPr>
        <w:t>详见供应商须知前附表；</w:t>
      </w:r>
    </w:p>
    <w:p>
      <w:pPr>
        <w:tabs>
          <w:tab w:val="left" w:pos="2307"/>
        </w:tabs>
        <w:snapToGrid w:val="0"/>
        <w:spacing w:line="360" w:lineRule="auto"/>
        <w:ind w:firstLine="482" w:firstLineChars="200"/>
        <w:rPr>
          <w:rFonts w:ascii="宋体" w:hAnsi="宋体" w:cs="楷体_GB2312"/>
          <w:b/>
          <w:sz w:val="24"/>
        </w:rPr>
      </w:pPr>
      <w:r>
        <w:rPr>
          <w:rFonts w:ascii="宋体" w:hAnsi="宋体" w:cs="楷体_GB2312"/>
          <w:b/>
          <w:sz w:val="24"/>
        </w:rPr>
        <w:t>3</w:t>
      </w:r>
      <w:r>
        <w:rPr>
          <w:rFonts w:hint="eastAsia" w:ascii="宋体" w:hAnsi="宋体" w:cs="楷体_GB2312"/>
          <w:b/>
          <w:sz w:val="24"/>
        </w:rPr>
        <w:t>、磋商文件的澄清或修正</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w:t>
      </w:r>
      <w:r>
        <w:rPr>
          <w:rFonts w:ascii="宋体" w:hAnsi="宋体" w:cs="楷体_GB2312"/>
          <w:sz w:val="24"/>
        </w:rPr>
        <w:t>1</w:t>
      </w:r>
      <w:r>
        <w:rPr>
          <w:rFonts w:hint="eastAsia" w:ascii="宋体" w:hAnsi="宋体" w:cs="楷体_GB2312"/>
          <w:sz w:val="24"/>
        </w:rPr>
        <w:t>）在磋商截止时间前无论出于何种原因采购人可对磋商文件进行澄清或修正，根据具体情况，可酌情延长磋商截止时间。</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w:t>
      </w:r>
      <w:r>
        <w:rPr>
          <w:rFonts w:ascii="宋体" w:hAnsi="宋体" w:cs="楷体_GB2312"/>
          <w:sz w:val="24"/>
        </w:rPr>
        <w:t>2</w:t>
      </w:r>
      <w:r>
        <w:rPr>
          <w:rFonts w:hint="eastAsia" w:ascii="宋体" w:hAnsi="宋体" w:cs="楷体_GB2312"/>
          <w:sz w:val="24"/>
        </w:rPr>
        <w:t>）如需对磋商文件进行澄清或修正，将用书面形式通知所有获得磋商文件的供应商，其作为磋商文件的一部分，与磋商文件具有同等约束力。</w:t>
      </w:r>
    </w:p>
    <w:p>
      <w:pPr>
        <w:pStyle w:val="20"/>
        <w:spacing w:line="360" w:lineRule="auto"/>
        <w:outlineLvl w:val="1"/>
        <w:rPr>
          <w:rFonts w:ascii="宋体" w:hAnsi="宋体"/>
          <w:sz w:val="24"/>
          <w:szCs w:val="24"/>
        </w:rPr>
      </w:pPr>
      <w:bookmarkStart w:id="18" w:name="_Toc165282389"/>
      <w:r>
        <w:rPr>
          <w:rFonts w:hint="eastAsia" w:ascii="宋体" w:hAnsi="宋体"/>
          <w:sz w:val="24"/>
          <w:szCs w:val="24"/>
        </w:rPr>
        <w:t>三、响应文件的编制与递交</w:t>
      </w:r>
      <w:bookmarkEnd w:id="18"/>
    </w:p>
    <w:p>
      <w:pPr>
        <w:snapToGrid w:val="0"/>
        <w:spacing w:line="360" w:lineRule="auto"/>
        <w:ind w:firstLine="482" w:firstLineChars="200"/>
        <w:rPr>
          <w:rFonts w:ascii="宋体" w:hAnsi="宋体" w:cs="楷体_GB2312"/>
          <w:b/>
          <w:sz w:val="24"/>
        </w:rPr>
      </w:pPr>
      <w:r>
        <w:rPr>
          <w:rFonts w:hint="eastAsia" w:ascii="宋体" w:hAnsi="宋体" w:cs="楷体_GB2312"/>
          <w:b/>
          <w:sz w:val="24"/>
        </w:rPr>
        <w:t>（五）响应文件的编制</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1</w:t>
      </w:r>
      <w:r>
        <w:rPr>
          <w:rFonts w:hint="eastAsia" w:ascii="宋体" w:hAnsi="宋体" w:cs="楷体_GB2312"/>
          <w:sz w:val="24"/>
        </w:rPr>
        <w:t>、响应文件按</w:t>
      </w:r>
      <w:r>
        <w:rPr>
          <w:rFonts w:ascii="宋体" w:hAnsi="宋体" w:cs="楷体_GB2312"/>
          <w:sz w:val="24"/>
        </w:rPr>
        <w:t>第</w:t>
      </w:r>
      <w:r>
        <w:rPr>
          <w:rFonts w:hint="eastAsia" w:ascii="宋体" w:hAnsi="宋体" w:cs="楷体_GB2312"/>
          <w:sz w:val="24"/>
        </w:rPr>
        <w:t>七章要求组成：</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2</w:t>
      </w:r>
      <w:r>
        <w:rPr>
          <w:rFonts w:hint="eastAsia" w:ascii="宋体" w:hAnsi="宋体" w:cs="楷体_GB2312"/>
          <w:sz w:val="24"/>
        </w:rPr>
        <w:t>、所有文件、往来函件均应使用简体中文（规格、型号辅助符号例外）。</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3</w:t>
      </w:r>
      <w:r>
        <w:rPr>
          <w:rFonts w:hint="eastAsia" w:ascii="宋体" w:hAnsi="宋体" w:cs="楷体_GB2312"/>
          <w:sz w:val="24"/>
        </w:rPr>
        <w:t>、响应文件由供应商按给定格式如实填写（编写），须有企业负责人授权代表签字（盖章），方为有效，未尽事宜可自行补充。</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4</w:t>
      </w:r>
      <w:r>
        <w:rPr>
          <w:rFonts w:hint="eastAsia" w:ascii="宋体" w:hAnsi="宋体" w:cs="楷体_GB2312"/>
          <w:sz w:val="24"/>
        </w:rPr>
        <w:t>、供应商报价一律以人民币为结算货币</w:t>
      </w:r>
      <w:r>
        <w:rPr>
          <w:rFonts w:ascii="宋体" w:hAnsi="宋体" w:cs="楷体_GB2312"/>
          <w:sz w:val="24"/>
        </w:rPr>
        <w:t>,</w:t>
      </w:r>
      <w:r>
        <w:rPr>
          <w:rFonts w:hint="eastAsia" w:ascii="宋体" w:hAnsi="宋体" w:cs="楷体_GB2312"/>
          <w:sz w:val="24"/>
        </w:rPr>
        <w:t>结算单位为“元”。</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5</w:t>
      </w:r>
      <w:r>
        <w:rPr>
          <w:rFonts w:hint="eastAsia" w:ascii="宋体" w:hAnsi="宋体" w:cs="楷体_GB2312"/>
          <w:sz w:val="24"/>
        </w:rPr>
        <w:t>、响应文件格式部分，应由供应商按给定格式提供，不得更改。</w:t>
      </w:r>
    </w:p>
    <w:p>
      <w:pPr>
        <w:spacing w:line="360" w:lineRule="auto"/>
        <w:ind w:firstLine="480" w:firstLineChars="200"/>
        <w:jc w:val="left"/>
        <w:rPr>
          <w:rFonts w:ascii="宋体" w:hAnsi="宋体" w:cs="宋体"/>
          <w:bCs/>
          <w:sz w:val="24"/>
        </w:rPr>
      </w:pPr>
      <w:r>
        <w:rPr>
          <w:rFonts w:ascii="宋体" w:hAnsi="宋体" w:cs="楷体_GB2312"/>
          <w:sz w:val="24"/>
        </w:rPr>
        <w:t>6</w:t>
      </w:r>
      <w:r>
        <w:rPr>
          <w:rFonts w:hint="eastAsia" w:ascii="宋体" w:hAnsi="宋体" w:cs="楷体_GB2312"/>
          <w:sz w:val="24"/>
        </w:rPr>
        <w:t>、响应文件</w:t>
      </w:r>
      <w:r>
        <w:rPr>
          <w:rFonts w:hint="eastAsia" w:ascii="宋体" w:hAnsi="宋体" w:cs="宋体"/>
          <w:bCs/>
          <w:sz w:val="24"/>
        </w:rPr>
        <w:t>正本和副本均需打印或使用不褪色的蓝、黑墨水笔书写，字迹应清晰易于辨认，并应在响应文件封面的右上角清楚地注明“正本”或“副本”。正本和副本如有不一致之处，以正本为准。</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7</w:t>
      </w:r>
      <w:r>
        <w:rPr>
          <w:rFonts w:hint="eastAsia" w:ascii="宋体" w:hAnsi="宋体" w:cs="楷体_GB2312"/>
          <w:sz w:val="24"/>
        </w:rPr>
        <w:t>、</w:t>
      </w:r>
      <w:r>
        <w:rPr>
          <w:rFonts w:hint="eastAsia" w:ascii="宋体" w:hAnsi="宋体" w:cs="楷体_GB2312"/>
          <w:b/>
          <w:bCs/>
          <w:sz w:val="24"/>
          <w:u w:val="single"/>
        </w:rPr>
        <w:t>须将装订成册的响应文件</w:t>
      </w:r>
      <w:r>
        <w:rPr>
          <w:rFonts w:hint="eastAsia" w:ascii="宋体" w:hAnsi="宋体" w:cs="楷体_GB2312"/>
          <w:sz w:val="24"/>
        </w:rPr>
        <w:t>及</w:t>
      </w:r>
      <w:r>
        <w:rPr>
          <w:rFonts w:hint="eastAsia" w:ascii="宋体" w:hAnsi="宋体" w:cs="楷体_GB2312"/>
          <w:b/>
          <w:bCs/>
          <w:sz w:val="24"/>
          <w:u w:val="single"/>
        </w:rPr>
        <w:t>电子光盘（或U盘）</w:t>
      </w:r>
      <w:r>
        <w:rPr>
          <w:rFonts w:hint="eastAsia" w:ascii="宋体" w:hAnsi="宋体" w:cs="楷体_GB2312"/>
          <w:sz w:val="24"/>
        </w:rPr>
        <w:t>加以密封，密封袋表面应注明项目名称、项目编号、供应商名称并加盖供应商公章。如果供应商未按上述要求进行密封和标记，代理机构对误投或过早启封概不负责。对由此造成提前开封的响应文件，采购人</w:t>
      </w:r>
      <w:r>
        <w:rPr>
          <w:rFonts w:ascii="宋体" w:hAnsi="宋体" w:cs="楷体_GB2312"/>
          <w:sz w:val="24"/>
        </w:rPr>
        <w:t>将</w:t>
      </w:r>
      <w:r>
        <w:rPr>
          <w:rFonts w:hint="eastAsia" w:ascii="宋体" w:hAnsi="宋体" w:cs="楷体_GB2312"/>
          <w:sz w:val="24"/>
        </w:rPr>
        <w:t>予以拒绝并退回给供应商。</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8</w:t>
      </w:r>
      <w:r>
        <w:rPr>
          <w:rFonts w:hint="eastAsia" w:ascii="宋体" w:hAnsi="宋体" w:cs="楷体_GB2312"/>
          <w:sz w:val="24"/>
        </w:rPr>
        <w:t>、响应文件不应有涂改、增删和潦草之处，如有必须修改时，修改处必须有</w:t>
      </w:r>
      <w:r>
        <w:rPr>
          <w:rFonts w:hint="eastAsia" w:ascii="宋体" w:hAnsi="宋体" w:cs="宋体"/>
          <w:bCs/>
          <w:sz w:val="24"/>
        </w:rPr>
        <w:t>法人、法定代表人或法定代表人授权代表的签字和盖章</w:t>
      </w:r>
      <w:r>
        <w:rPr>
          <w:rFonts w:hint="eastAsia" w:ascii="宋体" w:hAnsi="宋体" w:cs="楷体_GB2312"/>
          <w:sz w:val="24"/>
        </w:rPr>
        <w:t>。</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9</w:t>
      </w:r>
      <w:r>
        <w:rPr>
          <w:rFonts w:hint="eastAsia" w:ascii="宋体" w:hAnsi="宋体" w:cs="楷体_GB2312"/>
          <w:sz w:val="24"/>
        </w:rPr>
        <w:t>、供应商在响应文件中应加盖与供应商全称相一致的标准公章，不得使用其他形式如带有“专用章”等字样的印章，否则视为无效响应；供应商</w:t>
      </w:r>
      <w:r>
        <w:rPr>
          <w:rFonts w:hint="eastAsia" w:ascii="宋体" w:hAnsi="宋体"/>
          <w:sz w:val="24"/>
        </w:rPr>
        <w:t>企业负责人</w:t>
      </w:r>
      <w:r>
        <w:rPr>
          <w:rFonts w:hint="eastAsia" w:ascii="宋体" w:hAnsi="宋体" w:cs="楷体_GB2312"/>
          <w:sz w:val="24"/>
        </w:rPr>
        <w:t>或授权代表的签字或盖章须为全名，否则视为无效响应。</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10</w:t>
      </w:r>
      <w:r>
        <w:rPr>
          <w:rFonts w:hint="eastAsia" w:ascii="宋体" w:hAnsi="宋体" w:cs="楷体_GB2312"/>
          <w:sz w:val="24"/>
        </w:rPr>
        <w:t>、供应商应自行承担所有与参加磋商有关的费用。</w:t>
      </w:r>
    </w:p>
    <w:p>
      <w:pPr>
        <w:snapToGrid w:val="0"/>
        <w:spacing w:line="360" w:lineRule="auto"/>
        <w:ind w:firstLine="482" w:firstLineChars="200"/>
        <w:rPr>
          <w:rFonts w:ascii="宋体" w:hAnsi="宋体" w:cs="楷体_GB2312"/>
          <w:b/>
          <w:sz w:val="24"/>
        </w:rPr>
      </w:pPr>
      <w:r>
        <w:rPr>
          <w:rFonts w:hint="eastAsia" w:ascii="宋体" w:hAnsi="宋体" w:cs="楷体_GB2312"/>
          <w:b/>
          <w:sz w:val="24"/>
        </w:rPr>
        <w:t>（六）磋商保证金</w:t>
      </w:r>
      <w:bookmarkStart w:id="19" w:name="_Hlk92665039"/>
      <w:r>
        <w:rPr>
          <w:rFonts w:hint="eastAsia" w:ascii="宋体" w:hAnsi="宋体" w:cs="楷体_GB2312"/>
          <w:b/>
          <w:sz w:val="24"/>
          <w:u w:val="single"/>
        </w:rPr>
        <w:t>（如无需缴纳，此条可忽略）</w:t>
      </w:r>
      <w:bookmarkEnd w:id="19"/>
    </w:p>
    <w:p>
      <w:pPr>
        <w:tabs>
          <w:tab w:val="left" w:pos="2307"/>
        </w:tabs>
        <w:snapToGrid w:val="0"/>
        <w:spacing w:line="360" w:lineRule="auto"/>
        <w:ind w:firstLine="480" w:firstLineChars="200"/>
        <w:rPr>
          <w:rFonts w:ascii="宋体" w:hAnsi="宋体" w:cs="楷体_GB2312"/>
          <w:sz w:val="24"/>
        </w:rPr>
      </w:pPr>
      <w:bookmarkStart w:id="20" w:name="_Hlk92665047"/>
      <w:r>
        <w:rPr>
          <w:rFonts w:ascii="宋体" w:hAnsi="宋体" w:cs="楷体_GB2312"/>
          <w:sz w:val="24"/>
        </w:rPr>
        <w:t>1</w:t>
      </w:r>
      <w:r>
        <w:rPr>
          <w:rFonts w:hint="eastAsia" w:ascii="宋体" w:hAnsi="宋体" w:cs="楷体_GB2312"/>
          <w:sz w:val="24"/>
        </w:rPr>
        <w:t>、按磋商公告要求提交磋商保证金。</w:t>
      </w:r>
    </w:p>
    <w:p>
      <w:pPr>
        <w:snapToGrid w:val="0"/>
        <w:spacing w:line="360" w:lineRule="auto"/>
        <w:ind w:firstLine="480" w:firstLineChars="200"/>
        <w:rPr>
          <w:rFonts w:ascii="宋体" w:hAnsi="宋体" w:cs="楷体_GB2312"/>
          <w:sz w:val="24"/>
        </w:rPr>
      </w:pPr>
      <w:r>
        <w:rPr>
          <w:rFonts w:hint="eastAsia" w:ascii="宋体" w:hAnsi="宋体" w:cs="楷体_GB2312"/>
          <w:sz w:val="24"/>
        </w:rPr>
        <w:t>2、未成交供应商的磋商保证金在成交通知书发出后5个工作日内（无息）退还，成交供应商的磋商保证金在采购合同签订后5个工作日内（无息）退还。</w:t>
      </w:r>
    </w:p>
    <w:p>
      <w:pPr>
        <w:snapToGrid w:val="0"/>
        <w:spacing w:line="360" w:lineRule="auto"/>
        <w:ind w:firstLine="480" w:firstLineChars="200"/>
        <w:rPr>
          <w:rFonts w:ascii="宋体" w:hAnsi="宋体" w:cs="楷体_GB2312"/>
          <w:sz w:val="24"/>
        </w:rPr>
      </w:pPr>
      <w:r>
        <w:rPr>
          <w:rFonts w:hint="eastAsia" w:ascii="宋体" w:hAnsi="宋体" w:cs="楷体_GB2312"/>
          <w:sz w:val="24"/>
        </w:rPr>
        <w:t>3、如供应商违反采购相关法律、法规或规范性文件的，有下列情形之一的，磋商保证金不予退还：</w:t>
      </w:r>
    </w:p>
    <w:p>
      <w:pPr>
        <w:snapToGrid w:val="0"/>
        <w:spacing w:line="360" w:lineRule="auto"/>
        <w:ind w:firstLine="480" w:firstLineChars="200"/>
        <w:rPr>
          <w:rFonts w:ascii="宋体" w:hAnsi="宋体" w:cs="楷体_GB2312"/>
          <w:sz w:val="24"/>
        </w:rPr>
      </w:pPr>
      <w:r>
        <w:rPr>
          <w:rFonts w:hint="eastAsia" w:ascii="宋体" w:hAnsi="宋体" w:cs="楷体_GB2312"/>
          <w:sz w:val="24"/>
        </w:rPr>
        <w:t>（1）供应商在提交响应文件截止时间后撤回响应文件的；</w:t>
      </w:r>
    </w:p>
    <w:p>
      <w:pPr>
        <w:snapToGrid w:val="0"/>
        <w:spacing w:line="360" w:lineRule="auto"/>
        <w:ind w:firstLine="480" w:firstLineChars="200"/>
        <w:rPr>
          <w:rFonts w:ascii="宋体" w:hAnsi="宋体" w:cs="楷体_GB2312"/>
          <w:sz w:val="24"/>
        </w:rPr>
      </w:pPr>
      <w:r>
        <w:rPr>
          <w:rFonts w:hint="eastAsia" w:ascii="宋体" w:hAnsi="宋体" w:cs="楷体_GB2312"/>
          <w:sz w:val="24"/>
        </w:rPr>
        <w:t>（2）供应商在响应文件中提供虚假材料的；</w:t>
      </w:r>
    </w:p>
    <w:p>
      <w:pPr>
        <w:snapToGrid w:val="0"/>
        <w:spacing w:line="360" w:lineRule="auto"/>
        <w:ind w:firstLine="480" w:firstLineChars="200"/>
        <w:rPr>
          <w:rFonts w:ascii="宋体" w:hAnsi="宋体" w:cs="楷体_GB2312"/>
          <w:sz w:val="24"/>
        </w:rPr>
      </w:pPr>
      <w:r>
        <w:rPr>
          <w:rFonts w:hint="eastAsia" w:ascii="宋体" w:hAnsi="宋体" w:cs="楷体_GB2312"/>
          <w:sz w:val="24"/>
        </w:rPr>
        <w:t>（3）除因不可抗力或磋商文件认可的情形以外，成交供应商不与采购人签订合同的；</w:t>
      </w:r>
    </w:p>
    <w:p>
      <w:pPr>
        <w:snapToGrid w:val="0"/>
        <w:spacing w:line="360" w:lineRule="auto"/>
        <w:ind w:firstLine="480" w:firstLineChars="200"/>
        <w:rPr>
          <w:rFonts w:ascii="宋体" w:hAnsi="宋体" w:cs="楷体_GB2312"/>
          <w:sz w:val="24"/>
        </w:rPr>
      </w:pPr>
      <w:r>
        <w:rPr>
          <w:rFonts w:hint="eastAsia" w:ascii="宋体" w:hAnsi="宋体" w:cs="楷体_GB2312"/>
          <w:sz w:val="24"/>
        </w:rPr>
        <w:t>（4）供应商与采购人、其他供应商或者采购代理机构恶意串通的；</w:t>
      </w:r>
    </w:p>
    <w:p>
      <w:pPr>
        <w:snapToGrid w:val="0"/>
        <w:spacing w:line="360" w:lineRule="auto"/>
        <w:ind w:firstLine="480" w:firstLineChars="200"/>
        <w:rPr>
          <w:rFonts w:ascii="宋体" w:hAnsi="宋体" w:cs="楷体_GB2312"/>
          <w:sz w:val="24"/>
        </w:rPr>
      </w:pPr>
      <w:r>
        <w:rPr>
          <w:rFonts w:hint="eastAsia" w:ascii="宋体" w:hAnsi="宋体" w:cs="楷体_GB2312"/>
          <w:sz w:val="24"/>
        </w:rPr>
        <w:t>（5）磋商文件规定的其他情形。</w:t>
      </w:r>
    </w:p>
    <w:bookmarkEnd w:id="20"/>
    <w:p>
      <w:pPr>
        <w:snapToGrid w:val="0"/>
        <w:spacing w:line="360" w:lineRule="auto"/>
        <w:ind w:firstLine="482" w:firstLineChars="200"/>
        <w:rPr>
          <w:rFonts w:ascii="宋体" w:hAnsi="宋体" w:cs="楷体_GB2312"/>
          <w:b/>
          <w:sz w:val="24"/>
        </w:rPr>
      </w:pPr>
      <w:r>
        <w:rPr>
          <w:rFonts w:hint="eastAsia" w:ascii="宋体" w:hAnsi="宋体" w:cs="楷体_GB2312"/>
          <w:b/>
          <w:sz w:val="24"/>
        </w:rPr>
        <w:t>（七）无效响应文件的确认</w:t>
      </w:r>
    </w:p>
    <w:p>
      <w:pPr>
        <w:tabs>
          <w:tab w:val="right" w:pos="0"/>
        </w:tabs>
        <w:snapToGrid w:val="0"/>
        <w:spacing w:line="360" w:lineRule="auto"/>
        <w:ind w:firstLine="480" w:firstLineChars="200"/>
        <w:rPr>
          <w:rFonts w:ascii="宋体" w:hAnsi="宋体" w:cs="楷体_GB2312"/>
          <w:sz w:val="24"/>
        </w:rPr>
      </w:pPr>
      <w:r>
        <w:rPr>
          <w:rFonts w:hint="eastAsia" w:ascii="宋体" w:hAnsi="宋体" w:cs="楷体_GB2312"/>
          <w:sz w:val="24"/>
        </w:rPr>
        <w:t>供应商有下列情况之一者，其响应文件无效：</w:t>
      </w:r>
    </w:p>
    <w:p>
      <w:pPr>
        <w:tabs>
          <w:tab w:val="right" w:pos="0"/>
        </w:tabs>
        <w:snapToGrid w:val="0"/>
        <w:spacing w:line="360" w:lineRule="auto"/>
        <w:ind w:firstLine="482" w:firstLineChars="200"/>
        <w:rPr>
          <w:rFonts w:cs="楷体_GB2312" w:asciiTheme="minorEastAsia" w:hAnsiTheme="minorEastAsia" w:eastAsiaTheme="minorEastAsia"/>
          <w:b/>
          <w:bCs/>
          <w:sz w:val="24"/>
        </w:rPr>
      </w:pPr>
      <w:bookmarkStart w:id="21" w:name="_Hlk92665029"/>
      <w:r>
        <w:rPr>
          <w:rFonts w:cs="楷体_GB2312" w:asciiTheme="minorEastAsia" w:hAnsiTheme="minorEastAsia" w:eastAsiaTheme="minorEastAsia"/>
          <w:b/>
          <w:bCs/>
          <w:sz w:val="24"/>
        </w:rPr>
        <w:t>1</w:t>
      </w:r>
      <w:r>
        <w:rPr>
          <w:rFonts w:hint="eastAsia" w:cs="楷体_GB2312" w:asciiTheme="minorEastAsia" w:hAnsiTheme="minorEastAsia" w:eastAsiaTheme="minorEastAsia"/>
          <w:b/>
          <w:bCs/>
          <w:sz w:val="24"/>
        </w:rPr>
        <w:t>、未按规定交纳磋商保证金的；</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2</w:t>
      </w:r>
      <w:r>
        <w:rPr>
          <w:rFonts w:hint="eastAsia" w:cs="楷体_GB2312" w:asciiTheme="minorEastAsia" w:hAnsiTheme="minorEastAsia" w:eastAsiaTheme="minorEastAsia"/>
          <w:b/>
          <w:bCs/>
          <w:sz w:val="24"/>
        </w:rPr>
        <w:t>、响应文件未按规定的期限、地点送达的；</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3</w:t>
      </w:r>
      <w:r>
        <w:rPr>
          <w:rFonts w:hint="eastAsia" w:cs="楷体_GB2312" w:asciiTheme="minorEastAsia" w:hAnsiTheme="minorEastAsia" w:eastAsiaTheme="minorEastAsia"/>
          <w:b/>
          <w:bCs/>
          <w:sz w:val="24"/>
        </w:rPr>
        <w:t>、响应文件未按要求密封、签署、盖章的；</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4</w:t>
      </w:r>
      <w:r>
        <w:rPr>
          <w:rFonts w:hint="eastAsia" w:cs="楷体_GB2312" w:asciiTheme="minorEastAsia" w:hAnsiTheme="minorEastAsia" w:eastAsiaTheme="minorEastAsia"/>
          <w:b/>
          <w:bCs/>
          <w:sz w:val="24"/>
        </w:rPr>
        <w:t>、参与</w:t>
      </w:r>
      <w:r>
        <w:rPr>
          <w:rFonts w:cs="楷体_GB2312" w:asciiTheme="minorEastAsia" w:hAnsiTheme="minorEastAsia" w:eastAsiaTheme="minorEastAsia"/>
          <w:b/>
          <w:bCs/>
          <w:sz w:val="24"/>
        </w:rPr>
        <w:t>磋商</w:t>
      </w:r>
      <w:r>
        <w:rPr>
          <w:rFonts w:hint="eastAsia" w:cs="楷体_GB2312" w:asciiTheme="minorEastAsia" w:hAnsiTheme="minorEastAsia" w:eastAsiaTheme="minorEastAsia"/>
          <w:b/>
          <w:bCs/>
          <w:sz w:val="24"/>
        </w:rPr>
        <w:t>的法定代表人或法定代表人授权代表，未准时参加磋商的；</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hint="eastAsia" w:cs="楷体_GB2312" w:asciiTheme="minorEastAsia" w:hAnsiTheme="minorEastAsia" w:eastAsiaTheme="minorEastAsia"/>
          <w:b/>
          <w:bCs/>
          <w:sz w:val="24"/>
        </w:rPr>
        <w:t>5、供应商的最终磋商报价总价或单价超过最高限价或单价最高限价的；</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6</w:t>
      </w:r>
      <w:r>
        <w:rPr>
          <w:rFonts w:hint="eastAsia" w:cs="楷体_GB2312" w:asciiTheme="minorEastAsia" w:hAnsiTheme="minorEastAsia" w:eastAsiaTheme="minorEastAsia"/>
          <w:b/>
          <w:bCs/>
          <w:sz w:val="24"/>
        </w:rPr>
        <w:t>、不具备磋商文件的资格条件或未按磋商文件要求提供资格证明文件的；</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7</w:t>
      </w:r>
      <w:r>
        <w:rPr>
          <w:rFonts w:hint="eastAsia" w:cs="楷体_GB2312" w:asciiTheme="minorEastAsia" w:hAnsiTheme="minorEastAsia" w:eastAsiaTheme="minorEastAsia"/>
          <w:b/>
          <w:bCs/>
          <w:sz w:val="24"/>
        </w:rPr>
        <w:t>、响应文件关键内容字迹模糊不清、无法辨认的；</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8</w:t>
      </w:r>
      <w:r>
        <w:rPr>
          <w:rFonts w:hint="eastAsia" w:cs="楷体_GB2312" w:asciiTheme="minorEastAsia" w:hAnsiTheme="minorEastAsia" w:eastAsiaTheme="minorEastAsia"/>
          <w:b/>
          <w:bCs/>
          <w:sz w:val="24"/>
        </w:rPr>
        <w:t>、响应文件中有多个报价且未声明以哪一个为准的；</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9</w:t>
      </w:r>
      <w:r>
        <w:rPr>
          <w:rFonts w:hint="eastAsia" w:cs="楷体_GB2312" w:asciiTheme="minorEastAsia" w:hAnsiTheme="minorEastAsia" w:eastAsiaTheme="minorEastAsia"/>
          <w:b/>
          <w:bCs/>
          <w:sz w:val="24"/>
        </w:rPr>
        <w:t>、评审委员会认为属于重大偏离情形的；</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10</w:t>
      </w:r>
      <w:r>
        <w:rPr>
          <w:rFonts w:hint="eastAsia" w:cs="楷体_GB2312" w:asciiTheme="minorEastAsia" w:hAnsiTheme="minorEastAsia" w:eastAsiaTheme="minorEastAsia"/>
          <w:b/>
          <w:bCs/>
          <w:sz w:val="24"/>
        </w:rPr>
        <w:t>、响应文件载明的采购项目的完成期限超过磋商文件规定的期限；</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11</w:t>
      </w:r>
      <w:r>
        <w:rPr>
          <w:rFonts w:hint="eastAsia" w:cs="楷体_GB2312" w:asciiTheme="minorEastAsia" w:hAnsiTheme="minorEastAsia" w:eastAsiaTheme="minorEastAsia"/>
          <w:b/>
          <w:bCs/>
          <w:sz w:val="24"/>
        </w:rPr>
        <w:t>、响应文件附有采购人不能接受的商务条件；</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12</w:t>
      </w:r>
      <w:r>
        <w:rPr>
          <w:rFonts w:hint="eastAsia" w:cs="楷体_GB2312" w:asciiTheme="minorEastAsia" w:hAnsiTheme="minorEastAsia" w:eastAsiaTheme="minorEastAsia"/>
          <w:b/>
          <w:bCs/>
          <w:sz w:val="24"/>
        </w:rPr>
        <w:t>、各响应文件之间出现不应有的相似、相同、错误；</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13</w:t>
      </w:r>
      <w:r>
        <w:rPr>
          <w:rFonts w:hint="eastAsia" w:cs="楷体_GB2312" w:asciiTheme="minorEastAsia" w:hAnsiTheme="minorEastAsia" w:eastAsiaTheme="minorEastAsia"/>
          <w:b/>
          <w:bCs/>
          <w:sz w:val="24"/>
        </w:rPr>
        <w:t>、响应文件背离磋商文件中规定的必要技术功能要求；</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cs="楷体_GB2312" w:asciiTheme="minorEastAsia" w:hAnsiTheme="minorEastAsia" w:eastAsiaTheme="minorEastAsia"/>
          <w:b/>
          <w:bCs/>
          <w:sz w:val="24"/>
        </w:rPr>
        <w:t>14</w:t>
      </w:r>
      <w:r>
        <w:rPr>
          <w:rFonts w:hint="eastAsia" w:cs="楷体_GB2312" w:asciiTheme="minorEastAsia" w:hAnsiTheme="minorEastAsia" w:eastAsiaTheme="minorEastAsia"/>
          <w:b/>
          <w:bCs/>
          <w:sz w:val="24"/>
        </w:rPr>
        <w:t>、提供虚假材料（包括工商营业执照、财务报表、资格证明文件等）。</w:t>
      </w:r>
    </w:p>
    <w:p>
      <w:pPr>
        <w:tabs>
          <w:tab w:val="right" w:pos="0"/>
        </w:tabs>
        <w:snapToGrid w:val="0"/>
        <w:spacing w:line="360" w:lineRule="auto"/>
        <w:ind w:firstLine="482" w:firstLineChars="200"/>
        <w:rPr>
          <w:rFonts w:cs="楷体_GB2312" w:asciiTheme="minorEastAsia" w:hAnsiTheme="minorEastAsia" w:eastAsiaTheme="minorEastAsia"/>
          <w:b/>
          <w:bCs/>
          <w:sz w:val="24"/>
        </w:rPr>
      </w:pPr>
      <w:r>
        <w:rPr>
          <w:rFonts w:hint="eastAsia" w:cs="楷体_GB2312" w:asciiTheme="minorEastAsia" w:hAnsiTheme="minorEastAsia" w:eastAsiaTheme="minorEastAsia"/>
          <w:b/>
          <w:bCs/>
          <w:sz w:val="24"/>
        </w:rPr>
        <w:t>1</w:t>
      </w:r>
      <w:r>
        <w:rPr>
          <w:rFonts w:cs="楷体_GB2312" w:asciiTheme="minorEastAsia" w:hAnsiTheme="minorEastAsia" w:eastAsiaTheme="minorEastAsia"/>
          <w:b/>
          <w:bCs/>
          <w:sz w:val="24"/>
        </w:rPr>
        <w:t>5</w:t>
      </w:r>
      <w:r>
        <w:rPr>
          <w:rFonts w:hint="eastAsia" w:cs="楷体_GB2312" w:asciiTheme="minorEastAsia" w:hAnsiTheme="minorEastAsia" w:eastAsiaTheme="minorEastAsia"/>
          <w:b/>
          <w:bCs/>
          <w:sz w:val="24"/>
        </w:rPr>
        <w:t>、不符合国家法律法规及磋商文件中规定的其他实质性要求及无效响应要求。</w:t>
      </w:r>
    </w:p>
    <w:bookmarkEnd w:id="21"/>
    <w:p>
      <w:pPr>
        <w:pStyle w:val="20"/>
        <w:spacing w:line="360" w:lineRule="auto"/>
        <w:outlineLvl w:val="1"/>
        <w:rPr>
          <w:rFonts w:ascii="宋体" w:hAnsi="宋体"/>
          <w:sz w:val="24"/>
          <w:szCs w:val="24"/>
        </w:rPr>
      </w:pPr>
      <w:bookmarkStart w:id="22" w:name="_Toc165282390"/>
      <w:r>
        <w:rPr>
          <w:rFonts w:hint="eastAsia" w:ascii="宋体" w:hAnsi="宋体"/>
          <w:sz w:val="24"/>
          <w:szCs w:val="24"/>
        </w:rPr>
        <w:t>四、</w:t>
      </w:r>
      <w:bookmarkStart w:id="23" w:name="_Hlk114472543"/>
      <w:r>
        <w:rPr>
          <w:rFonts w:hint="eastAsia" w:ascii="宋体" w:hAnsi="宋体"/>
          <w:sz w:val="24"/>
          <w:szCs w:val="24"/>
        </w:rPr>
        <w:t>响应</w:t>
      </w:r>
      <w:bookmarkEnd w:id="23"/>
      <w:r>
        <w:rPr>
          <w:rFonts w:hint="eastAsia" w:ascii="宋体" w:hAnsi="宋体"/>
          <w:sz w:val="24"/>
          <w:szCs w:val="24"/>
        </w:rPr>
        <w:t>文件的递交与评审</w:t>
      </w:r>
      <w:bookmarkEnd w:id="22"/>
    </w:p>
    <w:p>
      <w:pPr>
        <w:snapToGrid w:val="0"/>
        <w:spacing w:line="360" w:lineRule="auto"/>
        <w:ind w:firstLine="482" w:firstLineChars="200"/>
        <w:rPr>
          <w:rFonts w:ascii="宋体" w:hAnsi="宋体" w:cs="楷体_GB2312"/>
          <w:b/>
          <w:sz w:val="24"/>
        </w:rPr>
      </w:pPr>
      <w:bookmarkStart w:id="24" w:name="_Hlk92665801"/>
      <w:r>
        <w:rPr>
          <w:rFonts w:hint="eastAsia" w:ascii="宋体" w:hAnsi="宋体" w:cs="楷体_GB2312"/>
          <w:b/>
          <w:sz w:val="24"/>
        </w:rPr>
        <w:t>（八）</w:t>
      </w:r>
      <w:bookmarkStart w:id="25" w:name="_Hlk92665102"/>
      <w:r>
        <w:rPr>
          <w:rFonts w:hint="eastAsia" w:ascii="宋体" w:hAnsi="宋体" w:cs="楷体_GB2312"/>
          <w:b/>
          <w:sz w:val="24"/>
        </w:rPr>
        <w:t>响应文件</w:t>
      </w:r>
      <w:bookmarkEnd w:id="25"/>
      <w:r>
        <w:rPr>
          <w:rFonts w:hint="eastAsia" w:ascii="宋体" w:hAnsi="宋体" w:cs="楷体_GB2312"/>
          <w:b/>
          <w:sz w:val="24"/>
        </w:rPr>
        <w:t>递交及评审程序</w:t>
      </w:r>
    </w:p>
    <w:p>
      <w:pPr>
        <w:snapToGrid w:val="0"/>
        <w:spacing w:line="360" w:lineRule="auto"/>
        <w:ind w:firstLine="480" w:firstLineChars="200"/>
        <w:rPr>
          <w:rFonts w:ascii="宋体" w:hAnsi="宋体" w:cs="楷体_GB2312"/>
          <w:bCs/>
          <w:sz w:val="24"/>
        </w:rPr>
      </w:pPr>
      <w:r>
        <w:rPr>
          <w:rFonts w:hint="eastAsia" w:ascii="宋体" w:hAnsi="宋体" w:cs="楷体_GB2312"/>
          <w:sz w:val="24"/>
        </w:rPr>
        <w:t>1、采购人按磋商文件的规定，在统一的</w:t>
      </w:r>
      <w:r>
        <w:rPr>
          <w:rFonts w:ascii="宋体" w:hAnsi="宋体" w:cs="楷体_GB2312"/>
          <w:sz w:val="24"/>
        </w:rPr>
        <w:t>时间和地点</w:t>
      </w:r>
      <w:r>
        <w:rPr>
          <w:rFonts w:hint="eastAsia" w:ascii="宋体" w:hAnsi="宋体" w:cs="楷体_GB2312"/>
          <w:sz w:val="24"/>
        </w:rPr>
        <w:t>组织磋商会议。会议由采购人或</w:t>
      </w:r>
      <w:r>
        <w:rPr>
          <w:rFonts w:ascii="宋体" w:hAnsi="宋体" w:cs="楷体_GB2312"/>
          <w:sz w:val="24"/>
        </w:rPr>
        <w:t>采购代理机构</w:t>
      </w:r>
      <w:r>
        <w:rPr>
          <w:rFonts w:hint="eastAsia" w:ascii="宋体" w:hAnsi="宋体" w:cs="楷体_GB2312"/>
          <w:sz w:val="24"/>
        </w:rPr>
        <w:t>主持，响应磋商文件的供应商代表（法定代表人或被授权委托人）应签名报到以证明其出席。</w:t>
      </w:r>
      <w:r>
        <w:rPr>
          <w:rFonts w:ascii="宋体" w:hAnsi="宋体" w:cs="楷体_GB2312"/>
          <w:bCs/>
          <w:sz w:val="24"/>
        </w:rPr>
        <w:t>采购人收到</w:t>
      </w:r>
      <w:r>
        <w:rPr>
          <w:rFonts w:hint="eastAsia" w:ascii="宋体" w:hAnsi="宋体" w:cs="楷体_GB2312"/>
          <w:bCs/>
          <w:sz w:val="24"/>
        </w:rPr>
        <w:t>响应</w:t>
      </w:r>
      <w:r>
        <w:rPr>
          <w:rFonts w:ascii="宋体" w:hAnsi="宋体" w:cs="楷体_GB2312"/>
          <w:bCs/>
          <w:sz w:val="24"/>
        </w:rPr>
        <w:t>文件后，核查</w:t>
      </w:r>
      <w:r>
        <w:rPr>
          <w:rFonts w:hint="eastAsia" w:ascii="宋体" w:hAnsi="宋体" w:cs="楷体_GB2312"/>
          <w:bCs/>
          <w:sz w:val="24"/>
        </w:rPr>
        <w:t>供应商</w:t>
      </w:r>
      <w:r>
        <w:rPr>
          <w:rFonts w:ascii="宋体" w:hAnsi="宋体" w:cs="楷体_GB2312"/>
          <w:bCs/>
          <w:sz w:val="24"/>
        </w:rPr>
        <w:t>代表（法定代表人或被授权委托人）的身份（必须提供第二代居民身份证，如未提供，则拒绝接受其</w:t>
      </w:r>
      <w:r>
        <w:rPr>
          <w:rFonts w:hint="eastAsia" w:ascii="宋体" w:hAnsi="宋体" w:cs="楷体_GB2312"/>
          <w:bCs/>
          <w:sz w:val="24"/>
        </w:rPr>
        <w:t>响应文件</w:t>
      </w:r>
      <w:r>
        <w:rPr>
          <w:rFonts w:ascii="宋体" w:hAnsi="宋体" w:cs="楷体_GB2312"/>
          <w:bCs/>
          <w:sz w:val="24"/>
        </w:rPr>
        <w:t>），如实记载</w:t>
      </w:r>
      <w:r>
        <w:rPr>
          <w:rFonts w:hint="eastAsia" w:ascii="宋体" w:hAnsi="宋体" w:cs="楷体_GB2312"/>
          <w:bCs/>
          <w:sz w:val="24"/>
        </w:rPr>
        <w:t>响应</w:t>
      </w:r>
      <w:r>
        <w:rPr>
          <w:rFonts w:ascii="宋体" w:hAnsi="宋体" w:cs="楷体_GB2312"/>
          <w:bCs/>
          <w:sz w:val="24"/>
        </w:rPr>
        <w:t>文件的送达时间和密封情况，签收保存。任何单位和个人不得在开标前开启</w:t>
      </w:r>
      <w:r>
        <w:rPr>
          <w:rFonts w:hint="eastAsia" w:ascii="宋体" w:hAnsi="宋体" w:cs="楷体_GB2312"/>
          <w:bCs/>
          <w:sz w:val="24"/>
        </w:rPr>
        <w:t>响应文件</w:t>
      </w:r>
      <w:r>
        <w:rPr>
          <w:rFonts w:ascii="宋体" w:hAnsi="宋体" w:cs="楷体_GB2312"/>
          <w:bCs/>
          <w:sz w:val="24"/>
        </w:rPr>
        <w:t>。</w:t>
      </w:r>
    </w:p>
    <w:p>
      <w:pPr>
        <w:snapToGrid w:val="0"/>
        <w:spacing w:line="360" w:lineRule="auto"/>
        <w:ind w:firstLine="480" w:firstLineChars="200"/>
        <w:rPr>
          <w:rFonts w:ascii="宋体" w:hAnsi="宋体" w:cs="楷体_GB2312"/>
          <w:sz w:val="24"/>
        </w:rPr>
      </w:pPr>
      <w:r>
        <w:rPr>
          <w:rFonts w:hint="eastAsia" w:ascii="宋体" w:hAnsi="宋体" w:cs="楷体_GB2312"/>
          <w:sz w:val="24"/>
        </w:rPr>
        <w:t>2、检查响应文件密封情况：由采购人代表或供应商或者其推选的代表检查响应文件的密封情况。</w:t>
      </w:r>
    </w:p>
    <w:p>
      <w:pPr>
        <w:snapToGrid w:val="0"/>
        <w:spacing w:line="360" w:lineRule="auto"/>
        <w:ind w:firstLine="480" w:firstLineChars="200"/>
        <w:rPr>
          <w:rFonts w:ascii="宋体" w:hAnsi="宋体" w:cs="楷体_GB2312"/>
          <w:sz w:val="24"/>
        </w:rPr>
      </w:pPr>
      <w:r>
        <w:rPr>
          <w:rFonts w:hint="eastAsia" w:ascii="宋体" w:hAnsi="宋体" w:cs="楷体_GB2312"/>
          <w:sz w:val="24"/>
        </w:rPr>
        <w:t>3、报价：首轮报价不公开，直接进入磋商阶段。</w:t>
      </w:r>
    </w:p>
    <w:p>
      <w:pPr>
        <w:snapToGrid w:val="0"/>
        <w:spacing w:line="360" w:lineRule="auto"/>
        <w:ind w:firstLine="480" w:firstLineChars="200"/>
        <w:rPr>
          <w:rFonts w:ascii="宋体" w:hAnsi="宋体" w:cs="楷体_GB2312"/>
          <w:sz w:val="24"/>
        </w:rPr>
      </w:pPr>
      <w:r>
        <w:rPr>
          <w:rFonts w:ascii="宋体" w:hAnsi="宋体" w:cs="楷体_GB2312"/>
          <w:sz w:val="24"/>
        </w:rPr>
        <w:t>4</w:t>
      </w:r>
      <w:r>
        <w:rPr>
          <w:rFonts w:hint="eastAsia" w:ascii="宋体" w:hAnsi="宋体" w:cs="楷体_GB2312"/>
          <w:sz w:val="24"/>
        </w:rPr>
        <w:t>、由磋商小组组织磋商评审，采购机构对磋商评审过程予以记录。</w:t>
      </w:r>
    </w:p>
    <w:p>
      <w:pPr>
        <w:snapToGrid w:val="0"/>
        <w:spacing w:line="360" w:lineRule="auto"/>
        <w:ind w:firstLine="482" w:firstLineChars="200"/>
        <w:rPr>
          <w:rFonts w:cs="楷体_GB2312" w:asciiTheme="minorEastAsia" w:hAnsiTheme="minorEastAsia" w:eastAsiaTheme="minorEastAsia"/>
          <w:b/>
          <w:sz w:val="24"/>
        </w:rPr>
      </w:pPr>
      <w:r>
        <w:rPr>
          <w:rFonts w:hint="eastAsia" w:ascii="宋体" w:hAnsi="宋体" w:cs="楷体_GB2312"/>
          <w:b/>
          <w:sz w:val="24"/>
        </w:rPr>
        <w:t>4、磋商报价次数：</w:t>
      </w:r>
      <w:r>
        <w:rPr>
          <w:rFonts w:hint="eastAsia" w:cs="楷体_GB2312" w:asciiTheme="minorEastAsia" w:hAnsiTheme="minorEastAsia" w:eastAsiaTheme="minorEastAsia"/>
          <w:b/>
          <w:sz w:val="24"/>
        </w:rPr>
        <w:t>响应文件的报价作为首轮报价，磋商结束后，所有继续参加磋商的供应商在规定时间内提交最终报价，最终报价作为评定成交的依据。</w:t>
      </w:r>
    </w:p>
    <w:p>
      <w:pPr>
        <w:snapToGrid w:val="0"/>
        <w:spacing w:line="360" w:lineRule="auto"/>
        <w:ind w:firstLine="482" w:firstLineChars="200"/>
        <w:rPr>
          <w:rFonts w:ascii="宋体" w:hAnsi="宋体" w:cs="楷体_GB2312"/>
          <w:b/>
          <w:sz w:val="24"/>
        </w:rPr>
      </w:pPr>
      <w:r>
        <w:rPr>
          <w:rFonts w:hint="eastAsia" w:ascii="宋体" w:hAnsi="宋体" w:cs="楷体_GB2312"/>
          <w:b/>
          <w:sz w:val="24"/>
        </w:rPr>
        <w:t>（九）磋商流程</w:t>
      </w:r>
    </w:p>
    <w:p>
      <w:pPr>
        <w:tabs>
          <w:tab w:val="left" w:pos="2307"/>
        </w:tabs>
        <w:snapToGrid w:val="0"/>
        <w:spacing w:line="360" w:lineRule="auto"/>
        <w:ind w:firstLine="482" w:firstLineChars="200"/>
        <w:rPr>
          <w:rFonts w:ascii="宋体" w:hAnsi="宋体" w:cs="楷体_GB2312"/>
          <w:b/>
          <w:bCs/>
          <w:sz w:val="24"/>
        </w:rPr>
      </w:pPr>
      <w:r>
        <w:rPr>
          <w:rFonts w:ascii="宋体" w:hAnsi="宋体" w:cs="楷体_GB2312"/>
          <w:b/>
          <w:bCs/>
          <w:sz w:val="24"/>
        </w:rPr>
        <w:t>1</w:t>
      </w:r>
      <w:r>
        <w:rPr>
          <w:rFonts w:hint="eastAsia" w:ascii="宋体" w:hAnsi="宋体" w:cs="楷体_GB2312"/>
          <w:b/>
          <w:bCs/>
          <w:sz w:val="24"/>
        </w:rPr>
        <w:t>、磋商小组：</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（1）采购人将根据采购项目的特点组建磋商小组，其成员由采购人代表、工程、技术、经贸、法律等方面的专家组成，人数为3人或3人以上的单数。</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（2）评审中因磋商小组成员缺席、回避或者健康等特殊原因导致磋商小组组成不符合本文件规定的，采购人或者采购代理机构应当依法补足后继续评审。被更换的磋商小组成员所作出的评审意见无效。</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（3）无法及时补足磋商小组成员的，采购人或者采购代理机构应当停止评审活动，封存所有响应文件和开标、评审资料，依法重新组建磋商小组进行评审。原磋商小组所作出的评审意见无效。</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（4）采购人或者采购代理机构应当将变更、重新组建磋商小组的情况予以记录，并随采购文件一并存档。</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2</w:t>
      </w:r>
      <w:r>
        <w:rPr>
          <w:rFonts w:hint="eastAsia" w:ascii="宋体" w:hAnsi="宋体" w:cs="楷体_GB2312"/>
          <w:sz w:val="24"/>
        </w:rPr>
        <w:t>、由采购人委托磋商小组对供应商递交的响应文件中的资格审查材料进行资格审查，以确定供应商是否具备磋商资格，格式及要求详见第八章。</w:t>
      </w:r>
    </w:p>
    <w:p>
      <w:pPr>
        <w:snapToGrid w:val="0"/>
        <w:spacing w:line="360" w:lineRule="auto"/>
        <w:ind w:firstLine="480" w:firstLineChars="200"/>
        <w:rPr>
          <w:rFonts w:ascii="宋体" w:hAnsi="宋体" w:cs="楷体_GB2312"/>
          <w:sz w:val="24"/>
        </w:rPr>
      </w:pPr>
      <w:r>
        <w:rPr>
          <w:rFonts w:hint="eastAsia" w:ascii="宋体" w:hAnsi="宋体" w:cs="楷体_GB2312"/>
          <w:sz w:val="24"/>
        </w:rPr>
        <w:t>3、</w:t>
      </w:r>
      <w:r>
        <w:rPr>
          <w:rFonts w:ascii="宋体" w:hAnsi="宋体" w:cs="楷体_GB2312"/>
          <w:sz w:val="24"/>
        </w:rPr>
        <w:t>评标委员会将依据法律法规和</w:t>
      </w:r>
      <w:r>
        <w:rPr>
          <w:rFonts w:hint="eastAsia" w:ascii="宋体" w:hAnsi="宋体" w:cs="楷体_GB2312"/>
          <w:sz w:val="24"/>
        </w:rPr>
        <w:t>采购</w:t>
      </w:r>
      <w:r>
        <w:rPr>
          <w:rFonts w:ascii="宋体" w:hAnsi="宋体" w:cs="楷体_GB2312"/>
          <w:sz w:val="24"/>
        </w:rPr>
        <w:t>文件的规定，按以下方法对</w:t>
      </w:r>
      <w:r>
        <w:rPr>
          <w:rFonts w:hint="eastAsia" w:ascii="宋体" w:hAnsi="宋体" w:cs="楷体_GB2312"/>
          <w:sz w:val="24"/>
        </w:rPr>
        <w:t>响应</w:t>
      </w:r>
      <w:r>
        <w:rPr>
          <w:rFonts w:ascii="宋体" w:hAnsi="宋体" w:cs="楷体_GB2312"/>
          <w:sz w:val="24"/>
        </w:rPr>
        <w:t>文件的有效性、完整性和对</w:t>
      </w:r>
      <w:r>
        <w:rPr>
          <w:rFonts w:hint="eastAsia" w:ascii="宋体" w:hAnsi="宋体" w:cs="楷体_GB2312"/>
          <w:sz w:val="24"/>
        </w:rPr>
        <w:t>响应</w:t>
      </w:r>
      <w:r>
        <w:rPr>
          <w:rFonts w:ascii="宋体" w:hAnsi="宋体" w:cs="楷体_GB2312"/>
          <w:sz w:val="24"/>
        </w:rPr>
        <w:t>文件的响应程度进行审查，以确定是否对</w:t>
      </w:r>
      <w:r>
        <w:rPr>
          <w:rFonts w:hint="eastAsia" w:ascii="宋体" w:hAnsi="宋体" w:cs="楷体_GB2312"/>
          <w:sz w:val="24"/>
        </w:rPr>
        <w:t>采购</w:t>
      </w:r>
      <w:r>
        <w:rPr>
          <w:rFonts w:ascii="宋体" w:hAnsi="宋体" w:cs="楷体_GB2312"/>
          <w:sz w:val="24"/>
        </w:rPr>
        <w:t>文件的实质性要求作出响应：</w:t>
      </w:r>
    </w:p>
    <w:tbl>
      <w:tblPr>
        <w:tblStyle w:val="22"/>
        <w:tblpPr w:leftFromText="180" w:rightFromText="180" w:vertAnchor="text" w:horzAnchor="page" w:tblpX="1513" w:tblpY="43"/>
        <w:tblOverlap w:val="never"/>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9"/>
        <w:gridCol w:w="2231"/>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391" w:type="dxa"/>
            <w:gridSpan w:val="4"/>
            <w:vAlign w:val="center"/>
          </w:tcPr>
          <w:p>
            <w:pPr>
              <w:tabs>
                <w:tab w:val="left" w:pos="-1980"/>
                <w:tab w:val="left" w:pos="360"/>
                <w:tab w:val="left" w:pos="567"/>
                <w:tab w:val="left" w:pos="709"/>
                <w:tab w:val="left" w:pos="993"/>
              </w:tabs>
              <w:topLinePunct/>
              <w:autoSpaceDE w:val="0"/>
              <w:autoSpaceDN w:val="0"/>
              <w:spacing w:line="276" w:lineRule="auto"/>
              <w:jc w:val="center"/>
              <w:rPr>
                <w:rFonts w:ascii="宋体" w:hAnsi="宋体"/>
                <w:b/>
                <w:kern w:val="0"/>
                <w:sz w:val="24"/>
              </w:rPr>
            </w:pPr>
            <w:r>
              <w:rPr>
                <w:rFonts w:ascii="宋体" w:hAnsi="宋体"/>
                <w:b/>
                <w:kern w:val="0"/>
                <w:sz w:val="24"/>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r>
              <w:rPr>
                <w:rFonts w:ascii="宋体" w:hAnsi="宋体"/>
                <w:b/>
                <w:kern w:val="0"/>
                <w:sz w:val="24"/>
              </w:rPr>
              <w:t>序号</w:t>
            </w:r>
          </w:p>
        </w:tc>
        <w:tc>
          <w:tcPr>
            <w:tcW w:w="3400" w:type="dxa"/>
            <w:gridSpan w:val="2"/>
            <w:vAlign w:val="center"/>
          </w:tcPr>
          <w:p>
            <w:pPr>
              <w:tabs>
                <w:tab w:val="left" w:pos="-1980"/>
                <w:tab w:val="left" w:pos="360"/>
                <w:tab w:val="left" w:pos="567"/>
                <w:tab w:val="left" w:pos="709"/>
                <w:tab w:val="left" w:pos="993"/>
              </w:tabs>
              <w:topLinePunct/>
              <w:autoSpaceDE w:val="0"/>
              <w:autoSpaceDN w:val="0"/>
              <w:spacing w:line="276" w:lineRule="auto"/>
              <w:jc w:val="center"/>
              <w:rPr>
                <w:rFonts w:ascii="宋体" w:hAnsi="宋体"/>
                <w:b/>
                <w:kern w:val="0"/>
                <w:sz w:val="24"/>
              </w:rPr>
            </w:pPr>
            <w:r>
              <w:rPr>
                <w:rFonts w:ascii="宋体" w:hAnsi="宋体"/>
                <w:b/>
                <w:kern w:val="0"/>
                <w:sz w:val="24"/>
              </w:rPr>
              <w:t>审查因素</w:t>
            </w:r>
          </w:p>
        </w:tc>
        <w:tc>
          <w:tcPr>
            <w:tcW w:w="5174" w:type="dxa"/>
            <w:vAlign w:val="center"/>
          </w:tcPr>
          <w:p>
            <w:pPr>
              <w:tabs>
                <w:tab w:val="left" w:pos="-1980"/>
                <w:tab w:val="left" w:pos="360"/>
                <w:tab w:val="left" w:pos="567"/>
                <w:tab w:val="left" w:pos="709"/>
                <w:tab w:val="left" w:pos="993"/>
              </w:tabs>
              <w:topLinePunct/>
              <w:autoSpaceDE w:val="0"/>
              <w:autoSpaceDN w:val="0"/>
              <w:spacing w:line="276" w:lineRule="auto"/>
              <w:jc w:val="center"/>
              <w:rPr>
                <w:rFonts w:ascii="宋体" w:hAnsi="宋体"/>
                <w:b/>
                <w:kern w:val="0"/>
                <w:sz w:val="24"/>
              </w:rPr>
            </w:pPr>
            <w:r>
              <w:rPr>
                <w:rFonts w:ascii="宋体" w:hAnsi="宋体"/>
                <w:b/>
                <w:kern w:val="0"/>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7" w:type="dxa"/>
            <w:vMerge w:val="restart"/>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r>
              <w:rPr>
                <w:rFonts w:ascii="宋体" w:hAnsi="宋体"/>
                <w:kern w:val="0"/>
                <w:sz w:val="24"/>
              </w:rPr>
              <w:t>1</w:t>
            </w:r>
          </w:p>
        </w:tc>
        <w:tc>
          <w:tcPr>
            <w:tcW w:w="1169" w:type="dxa"/>
            <w:vMerge w:val="restart"/>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r>
              <w:rPr>
                <w:rFonts w:ascii="宋体" w:hAnsi="宋体"/>
                <w:b/>
                <w:kern w:val="0"/>
                <w:sz w:val="24"/>
              </w:rPr>
              <w:t>有效性审查</w:t>
            </w:r>
          </w:p>
        </w:tc>
        <w:tc>
          <w:tcPr>
            <w:tcW w:w="2231"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bookmarkStart w:id="26" w:name="_Hlk165289957"/>
            <w:r>
              <w:rPr>
                <w:rFonts w:hint="eastAsia" w:ascii="宋体" w:hAnsi="宋体"/>
                <w:b/>
                <w:kern w:val="0"/>
                <w:sz w:val="24"/>
              </w:rPr>
              <w:t>响应</w:t>
            </w:r>
            <w:bookmarkEnd w:id="26"/>
            <w:r>
              <w:rPr>
                <w:rFonts w:ascii="宋体" w:hAnsi="宋体"/>
                <w:b/>
                <w:kern w:val="0"/>
                <w:sz w:val="24"/>
              </w:rPr>
              <w:t>文件签署、盖章</w:t>
            </w:r>
          </w:p>
        </w:tc>
        <w:tc>
          <w:tcPr>
            <w:tcW w:w="5174" w:type="dxa"/>
            <w:vAlign w:val="center"/>
          </w:tcPr>
          <w:p>
            <w:pPr>
              <w:topLinePunct/>
              <w:spacing w:line="276" w:lineRule="auto"/>
              <w:rPr>
                <w:rFonts w:ascii="宋体" w:hAnsi="宋体"/>
                <w:sz w:val="24"/>
              </w:rPr>
            </w:pPr>
            <w:r>
              <w:rPr>
                <w:rFonts w:hint="eastAsia" w:ascii="宋体" w:hAnsi="宋体"/>
                <w:kern w:val="0"/>
                <w:sz w:val="24"/>
              </w:rPr>
              <w:t>响应</w:t>
            </w:r>
            <w:r>
              <w:rPr>
                <w:rFonts w:ascii="宋体" w:hAnsi="宋体"/>
                <w:kern w:val="0"/>
                <w:sz w:val="24"/>
              </w:rPr>
              <w:t>文件上单位盖章、法定代表人（或其授权代表人）的签字</w:t>
            </w:r>
            <w:r>
              <w:rPr>
                <w:rFonts w:hint="eastAsia" w:ascii="宋体" w:hAnsi="宋体"/>
                <w:kern w:val="0"/>
                <w:sz w:val="24"/>
              </w:rPr>
              <w:t>或盖章</w:t>
            </w:r>
            <w:r>
              <w:rPr>
                <w:rFonts w:ascii="宋体" w:hAnsi="宋体"/>
                <w:kern w:val="0"/>
                <w:sz w:val="24"/>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p>
        </w:tc>
        <w:tc>
          <w:tcPr>
            <w:tcW w:w="1169"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p>
        </w:tc>
        <w:tc>
          <w:tcPr>
            <w:tcW w:w="2231" w:type="dxa"/>
            <w:vAlign w:val="center"/>
          </w:tcPr>
          <w:p>
            <w:pPr>
              <w:tabs>
                <w:tab w:val="left" w:pos="-1980"/>
              </w:tabs>
              <w:topLinePunct/>
              <w:autoSpaceDE w:val="0"/>
              <w:autoSpaceDN w:val="0"/>
              <w:spacing w:line="276" w:lineRule="auto"/>
              <w:jc w:val="left"/>
              <w:rPr>
                <w:rFonts w:ascii="宋体" w:hAnsi="宋体"/>
                <w:b/>
                <w:kern w:val="0"/>
                <w:sz w:val="24"/>
              </w:rPr>
            </w:pPr>
            <w:r>
              <w:rPr>
                <w:rFonts w:ascii="宋体" w:hAnsi="宋体"/>
                <w:b/>
                <w:kern w:val="0"/>
                <w:sz w:val="24"/>
              </w:rPr>
              <w:t>投标方案</w:t>
            </w:r>
          </w:p>
        </w:tc>
        <w:tc>
          <w:tcPr>
            <w:tcW w:w="5174"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r>
              <w:rPr>
                <w:rFonts w:ascii="宋体" w:hAnsi="宋体"/>
                <w:kern w:val="0"/>
                <w:sz w:val="24"/>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p>
        </w:tc>
        <w:tc>
          <w:tcPr>
            <w:tcW w:w="1169"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p>
        </w:tc>
        <w:tc>
          <w:tcPr>
            <w:tcW w:w="2231"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r>
              <w:rPr>
                <w:rFonts w:ascii="宋体" w:hAnsi="宋体"/>
                <w:b/>
                <w:kern w:val="0"/>
                <w:sz w:val="24"/>
              </w:rPr>
              <w:t>报价唯一</w:t>
            </w:r>
          </w:p>
        </w:tc>
        <w:tc>
          <w:tcPr>
            <w:tcW w:w="5174"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r>
              <w:rPr>
                <w:rFonts w:ascii="宋体" w:hAnsi="宋体"/>
                <w:kern w:val="0"/>
                <w:sz w:val="24"/>
              </w:rPr>
              <w:t>只能在限价范围内报价，只能有一个有效报价，不得提交选择性报价。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p>
        </w:tc>
        <w:tc>
          <w:tcPr>
            <w:tcW w:w="1169"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p>
        </w:tc>
        <w:tc>
          <w:tcPr>
            <w:tcW w:w="2231"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r>
              <w:rPr>
                <w:rFonts w:hint="eastAsia" w:ascii="宋体" w:hAnsi="宋体"/>
                <w:b/>
                <w:kern w:val="0"/>
                <w:sz w:val="24"/>
              </w:rPr>
              <w:t>磋商保证金</w:t>
            </w:r>
          </w:p>
        </w:tc>
        <w:tc>
          <w:tcPr>
            <w:tcW w:w="5174"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r>
              <w:rPr>
                <w:rFonts w:hint="eastAsia" w:ascii="宋体" w:hAnsi="宋体"/>
                <w:kern w:val="0"/>
                <w:sz w:val="24"/>
              </w:rPr>
              <w:t>按要求、按时足额缴纳磋商保证金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vMerge w:val="restart"/>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r>
              <w:rPr>
                <w:rFonts w:ascii="宋体" w:hAnsi="宋体"/>
                <w:kern w:val="0"/>
                <w:sz w:val="24"/>
              </w:rPr>
              <w:t>2</w:t>
            </w:r>
          </w:p>
        </w:tc>
        <w:tc>
          <w:tcPr>
            <w:tcW w:w="1169" w:type="dxa"/>
            <w:vMerge w:val="restart"/>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r>
              <w:rPr>
                <w:rFonts w:ascii="宋体" w:hAnsi="宋体"/>
                <w:b/>
                <w:kern w:val="0"/>
                <w:sz w:val="24"/>
              </w:rPr>
              <w:t>完整性审查</w:t>
            </w:r>
          </w:p>
        </w:tc>
        <w:tc>
          <w:tcPr>
            <w:tcW w:w="2231"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r>
              <w:rPr>
                <w:rFonts w:hint="eastAsia" w:ascii="宋体" w:hAnsi="宋体"/>
                <w:b/>
                <w:kern w:val="0"/>
                <w:sz w:val="24"/>
              </w:rPr>
              <w:t>响应</w:t>
            </w:r>
            <w:r>
              <w:rPr>
                <w:rFonts w:ascii="宋体" w:hAnsi="宋体"/>
                <w:b/>
                <w:kern w:val="0"/>
                <w:sz w:val="24"/>
              </w:rPr>
              <w:t>文件份数</w:t>
            </w:r>
          </w:p>
        </w:tc>
        <w:tc>
          <w:tcPr>
            <w:tcW w:w="5174"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r>
              <w:rPr>
                <w:rFonts w:hint="eastAsia" w:ascii="宋体" w:hAnsi="宋体"/>
                <w:kern w:val="0"/>
                <w:sz w:val="24"/>
              </w:rPr>
              <w:t>响应</w:t>
            </w:r>
            <w:r>
              <w:rPr>
                <w:rFonts w:ascii="宋体" w:hAnsi="宋体"/>
                <w:kern w:val="0"/>
                <w:sz w:val="24"/>
              </w:rPr>
              <w:t>文件正本、副本数量符合</w:t>
            </w:r>
            <w:r>
              <w:rPr>
                <w:rFonts w:hint="eastAsia" w:ascii="宋体" w:hAnsi="宋体"/>
                <w:kern w:val="0"/>
                <w:sz w:val="24"/>
              </w:rPr>
              <w:t>磋商</w:t>
            </w:r>
            <w:r>
              <w:rPr>
                <w:rFonts w:ascii="宋体" w:hAnsi="宋体"/>
                <w:kern w:val="0"/>
                <w:sz w:val="24"/>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17"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p>
        </w:tc>
        <w:tc>
          <w:tcPr>
            <w:tcW w:w="1169"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p>
        </w:tc>
        <w:tc>
          <w:tcPr>
            <w:tcW w:w="2231"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r>
              <w:rPr>
                <w:rFonts w:hint="eastAsia" w:ascii="宋体" w:hAnsi="宋体"/>
                <w:b/>
                <w:kern w:val="0"/>
                <w:sz w:val="24"/>
              </w:rPr>
              <w:t>响应</w:t>
            </w:r>
            <w:r>
              <w:rPr>
                <w:rFonts w:ascii="宋体" w:hAnsi="宋体"/>
                <w:b/>
                <w:kern w:val="0"/>
                <w:sz w:val="24"/>
              </w:rPr>
              <w:t>文件内容</w:t>
            </w:r>
          </w:p>
        </w:tc>
        <w:tc>
          <w:tcPr>
            <w:tcW w:w="5174"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r>
              <w:rPr>
                <w:rFonts w:hint="eastAsia" w:ascii="宋体" w:hAnsi="宋体"/>
                <w:kern w:val="0"/>
                <w:sz w:val="24"/>
              </w:rPr>
              <w:t>响应</w:t>
            </w:r>
            <w:r>
              <w:rPr>
                <w:rFonts w:ascii="宋体" w:hAnsi="宋体"/>
                <w:kern w:val="0"/>
                <w:sz w:val="24"/>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7" w:type="dxa"/>
            <w:vMerge w:val="restart"/>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r>
              <w:rPr>
                <w:rFonts w:ascii="宋体" w:hAnsi="宋体"/>
                <w:kern w:val="0"/>
                <w:sz w:val="24"/>
              </w:rPr>
              <w:t>3</w:t>
            </w:r>
          </w:p>
        </w:tc>
        <w:tc>
          <w:tcPr>
            <w:tcW w:w="1169" w:type="dxa"/>
            <w:vMerge w:val="restart"/>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r>
              <w:rPr>
                <w:rFonts w:hint="eastAsia" w:ascii="宋体" w:hAnsi="宋体"/>
                <w:b/>
                <w:kern w:val="0"/>
                <w:sz w:val="24"/>
              </w:rPr>
              <w:t>响应</w:t>
            </w:r>
            <w:r>
              <w:rPr>
                <w:rFonts w:ascii="宋体" w:hAnsi="宋体"/>
                <w:b/>
                <w:kern w:val="0"/>
                <w:sz w:val="24"/>
              </w:rPr>
              <w:t>文件的响应程度审查</w:t>
            </w:r>
          </w:p>
        </w:tc>
        <w:tc>
          <w:tcPr>
            <w:tcW w:w="2231"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r>
              <w:rPr>
                <w:rFonts w:ascii="宋体" w:hAnsi="宋体"/>
                <w:b/>
                <w:kern w:val="0"/>
                <w:sz w:val="24"/>
              </w:rPr>
              <w:t>技术部分</w:t>
            </w:r>
          </w:p>
        </w:tc>
        <w:tc>
          <w:tcPr>
            <w:tcW w:w="5174"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r>
              <w:rPr>
                <w:rFonts w:ascii="宋体" w:hAnsi="宋体"/>
                <w:kern w:val="0"/>
                <w:sz w:val="24"/>
              </w:rPr>
              <w:t>满足</w:t>
            </w:r>
            <w:r>
              <w:rPr>
                <w:rFonts w:hint="eastAsia" w:ascii="宋体" w:hAnsi="宋体"/>
                <w:kern w:val="0"/>
                <w:sz w:val="24"/>
              </w:rPr>
              <w:t>磋商</w:t>
            </w:r>
            <w:r>
              <w:rPr>
                <w:rFonts w:ascii="宋体" w:hAnsi="宋体"/>
                <w:kern w:val="0"/>
                <w:sz w:val="24"/>
              </w:rPr>
              <w:t>文件中规定的实质性技术要求和条件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p>
        </w:tc>
        <w:tc>
          <w:tcPr>
            <w:tcW w:w="1169"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p>
        </w:tc>
        <w:tc>
          <w:tcPr>
            <w:tcW w:w="2231"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r>
              <w:rPr>
                <w:rFonts w:ascii="宋体" w:hAnsi="宋体"/>
                <w:b/>
                <w:kern w:val="0"/>
                <w:sz w:val="24"/>
              </w:rPr>
              <w:t>商务部分</w:t>
            </w:r>
          </w:p>
        </w:tc>
        <w:tc>
          <w:tcPr>
            <w:tcW w:w="5174" w:type="dxa"/>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r>
              <w:rPr>
                <w:rFonts w:ascii="宋体" w:hAnsi="宋体"/>
                <w:kern w:val="0"/>
                <w:sz w:val="24"/>
              </w:rPr>
              <w:t>满足</w:t>
            </w:r>
            <w:r>
              <w:rPr>
                <w:rFonts w:hint="eastAsia" w:ascii="宋体" w:hAnsi="宋体"/>
                <w:kern w:val="0"/>
                <w:sz w:val="24"/>
              </w:rPr>
              <w:t>磋商</w:t>
            </w:r>
            <w:r>
              <w:rPr>
                <w:rFonts w:ascii="宋体" w:hAnsi="宋体"/>
                <w:kern w:val="0"/>
                <w:sz w:val="24"/>
              </w:rPr>
              <w:t>文件商务部分规定的实质性要求和条件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p>
        </w:tc>
        <w:tc>
          <w:tcPr>
            <w:tcW w:w="1169" w:type="dxa"/>
            <w:vMerge w:val="continue"/>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p>
        </w:tc>
        <w:tc>
          <w:tcPr>
            <w:tcW w:w="2231" w:type="dxa"/>
            <w:tcBorders>
              <w:bottom w:val="single" w:color="auto" w:sz="4" w:space="0"/>
            </w:tcBorders>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b/>
                <w:kern w:val="0"/>
                <w:sz w:val="24"/>
              </w:rPr>
            </w:pPr>
            <w:r>
              <w:rPr>
                <w:rFonts w:ascii="宋体" w:hAnsi="宋体"/>
                <w:b/>
                <w:kern w:val="0"/>
                <w:sz w:val="24"/>
              </w:rPr>
              <w:t>其他</w:t>
            </w:r>
          </w:p>
        </w:tc>
        <w:tc>
          <w:tcPr>
            <w:tcW w:w="5174" w:type="dxa"/>
            <w:tcBorders>
              <w:bottom w:val="single" w:color="auto" w:sz="4" w:space="0"/>
            </w:tcBorders>
            <w:vAlign w:val="center"/>
          </w:tcPr>
          <w:p>
            <w:pPr>
              <w:tabs>
                <w:tab w:val="left" w:pos="-1980"/>
                <w:tab w:val="left" w:pos="360"/>
                <w:tab w:val="left" w:pos="567"/>
                <w:tab w:val="left" w:pos="709"/>
                <w:tab w:val="left" w:pos="993"/>
              </w:tabs>
              <w:topLinePunct/>
              <w:autoSpaceDE w:val="0"/>
              <w:autoSpaceDN w:val="0"/>
              <w:spacing w:line="276" w:lineRule="auto"/>
              <w:jc w:val="left"/>
              <w:rPr>
                <w:rFonts w:ascii="宋体" w:hAnsi="宋体"/>
                <w:kern w:val="0"/>
                <w:sz w:val="24"/>
              </w:rPr>
            </w:pPr>
            <w:r>
              <w:rPr>
                <w:rFonts w:ascii="宋体" w:hAnsi="宋体"/>
                <w:kern w:val="0"/>
                <w:sz w:val="24"/>
              </w:rPr>
              <w:t>见</w:t>
            </w:r>
            <w:r>
              <w:rPr>
                <w:rFonts w:hint="eastAsia" w:ascii="宋体" w:hAnsi="宋体"/>
                <w:kern w:val="0"/>
                <w:sz w:val="24"/>
              </w:rPr>
              <w:t>磋商</w:t>
            </w:r>
            <w:r>
              <w:rPr>
                <w:rFonts w:ascii="宋体" w:hAnsi="宋体"/>
                <w:kern w:val="0"/>
                <w:sz w:val="24"/>
              </w:rPr>
              <w:t>文件无效条款及</w:t>
            </w:r>
            <w:r>
              <w:rPr>
                <w:rFonts w:hint="eastAsia" w:ascii="宋体" w:hAnsi="宋体"/>
                <w:kern w:val="0"/>
                <w:sz w:val="24"/>
              </w:rPr>
              <w:t>磋商</w:t>
            </w:r>
            <w:r>
              <w:rPr>
                <w:rFonts w:ascii="宋体" w:hAnsi="宋体"/>
                <w:kern w:val="0"/>
                <w:sz w:val="24"/>
              </w:rPr>
              <w:t>文件中规定的被视为无效</w:t>
            </w:r>
            <w:r>
              <w:rPr>
                <w:rFonts w:hint="eastAsia" w:ascii="宋体" w:hAnsi="宋体"/>
                <w:kern w:val="0"/>
                <w:sz w:val="24"/>
              </w:rPr>
              <w:t>响应</w:t>
            </w:r>
            <w:r>
              <w:rPr>
                <w:rFonts w:ascii="宋体" w:hAnsi="宋体"/>
                <w:kern w:val="0"/>
                <w:sz w:val="24"/>
              </w:rPr>
              <w:t>的其它条款的</w:t>
            </w:r>
          </w:p>
        </w:tc>
      </w:tr>
    </w:tbl>
    <w:p>
      <w:pPr>
        <w:tabs>
          <w:tab w:val="left" w:pos="-1980"/>
          <w:tab w:val="left" w:pos="360"/>
          <w:tab w:val="left" w:pos="567"/>
          <w:tab w:val="left" w:pos="709"/>
          <w:tab w:val="left" w:pos="993"/>
        </w:tabs>
        <w:topLinePunct/>
        <w:spacing w:line="360" w:lineRule="auto"/>
        <w:ind w:firstLine="482" w:firstLineChars="200"/>
        <w:jc w:val="left"/>
        <w:rPr>
          <w:rFonts w:ascii="宋体" w:hAnsi="宋体" w:cs="楷体_GB2312"/>
          <w:b/>
          <w:bCs/>
          <w:sz w:val="24"/>
        </w:rPr>
      </w:pPr>
      <w:r>
        <w:rPr>
          <w:rFonts w:ascii="宋体" w:hAnsi="宋体" w:cs="楷体_GB2312"/>
          <w:b/>
          <w:bCs/>
          <w:sz w:val="24"/>
        </w:rPr>
        <w:t>4</w:t>
      </w:r>
      <w:r>
        <w:rPr>
          <w:rFonts w:hint="eastAsia" w:ascii="宋体" w:hAnsi="宋体" w:cs="楷体_GB2312"/>
          <w:b/>
          <w:bCs/>
          <w:sz w:val="24"/>
        </w:rPr>
        <w:t>、</w:t>
      </w:r>
      <w:r>
        <w:rPr>
          <w:rFonts w:ascii="宋体" w:hAnsi="宋体" w:cs="楷体_GB2312"/>
          <w:b/>
          <w:bCs/>
          <w:sz w:val="24"/>
        </w:rPr>
        <w:t>实质性要求是指本</w:t>
      </w:r>
      <w:r>
        <w:rPr>
          <w:rFonts w:hint="eastAsia" w:ascii="宋体" w:hAnsi="宋体" w:cs="楷体_GB2312"/>
          <w:b/>
          <w:bCs/>
          <w:sz w:val="24"/>
        </w:rPr>
        <w:t>采购</w:t>
      </w:r>
      <w:r>
        <w:rPr>
          <w:rFonts w:ascii="宋体" w:hAnsi="宋体" w:cs="楷体_GB2312"/>
          <w:b/>
          <w:bCs/>
          <w:sz w:val="24"/>
        </w:rPr>
        <w:t>文件中</w:t>
      </w:r>
      <w:r>
        <w:rPr>
          <w:rFonts w:hint="eastAsia" w:ascii="宋体" w:hAnsi="宋体" w:cs="楷体_GB2312"/>
          <w:b/>
          <w:bCs/>
          <w:sz w:val="24"/>
        </w:rPr>
        <w:t>要求</w:t>
      </w:r>
      <w:r>
        <w:rPr>
          <w:rFonts w:ascii="宋体" w:hAnsi="宋体" w:cs="楷体_GB2312"/>
          <w:b/>
          <w:bCs/>
          <w:sz w:val="24"/>
        </w:rPr>
        <w:t>的</w:t>
      </w:r>
      <w:r>
        <w:rPr>
          <w:rFonts w:hint="eastAsia" w:ascii="宋体" w:hAnsi="宋体" w:cs="楷体_GB2312"/>
          <w:b/>
          <w:bCs/>
          <w:sz w:val="24"/>
        </w:rPr>
        <w:t>技术和商务要</w:t>
      </w:r>
      <w:r>
        <w:rPr>
          <w:rFonts w:ascii="宋体" w:hAnsi="宋体" w:cs="楷体_GB2312"/>
          <w:b/>
          <w:bCs/>
          <w:sz w:val="24"/>
        </w:rPr>
        <w:t>求或文件中作出特别说明的其他要求。</w:t>
      </w:r>
    </w:p>
    <w:p>
      <w:pPr>
        <w:tabs>
          <w:tab w:val="left" w:pos="-1980"/>
          <w:tab w:val="left" w:pos="360"/>
          <w:tab w:val="left" w:pos="567"/>
          <w:tab w:val="left" w:pos="709"/>
          <w:tab w:val="left" w:pos="993"/>
        </w:tabs>
        <w:topLinePunct/>
        <w:spacing w:line="360" w:lineRule="auto"/>
        <w:ind w:firstLine="480" w:firstLineChars="200"/>
        <w:jc w:val="left"/>
        <w:rPr>
          <w:rFonts w:ascii="宋体" w:hAnsi="宋体" w:cs="楷体_GB2312"/>
          <w:sz w:val="24"/>
        </w:rPr>
      </w:pPr>
      <w:r>
        <w:rPr>
          <w:rFonts w:ascii="宋体" w:hAnsi="宋体" w:cs="楷体_GB2312"/>
          <w:sz w:val="24"/>
        </w:rPr>
        <w:t>5</w:t>
      </w:r>
      <w:r>
        <w:rPr>
          <w:rFonts w:hint="eastAsia" w:ascii="宋体" w:hAnsi="宋体" w:cs="楷体_GB2312"/>
          <w:sz w:val="24"/>
        </w:rPr>
        <w:t>、</w:t>
      </w:r>
      <w:r>
        <w:rPr>
          <w:rFonts w:ascii="宋体" w:hAnsi="宋体" w:cs="楷体_GB2312"/>
          <w:sz w:val="24"/>
        </w:rPr>
        <w:t>如果</w:t>
      </w:r>
      <w:r>
        <w:rPr>
          <w:rFonts w:hint="eastAsia" w:ascii="宋体" w:hAnsi="宋体" w:cs="楷体_GB2312"/>
          <w:sz w:val="24"/>
        </w:rPr>
        <w:t>响应</w:t>
      </w:r>
      <w:r>
        <w:rPr>
          <w:rFonts w:ascii="宋体" w:hAnsi="宋体" w:cs="楷体_GB2312"/>
          <w:sz w:val="24"/>
        </w:rPr>
        <w:t>文件实质上没有响应</w:t>
      </w:r>
      <w:r>
        <w:rPr>
          <w:rFonts w:hint="eastAsia" w:ascii="宋体" w:hAnsi="宋体" w:cs="楷体_GB2312"/>
          <w:sz w:val="24"/>
        </w:rPr>
        <w:t>采购</w:t>
      </w:r>
      <w:r>
        <w:rPr>
          <w:rFonts w:ascii="宋体" w:hAnsi="宋体" w:cs="楷体_GB2312"/>
          <w:sz w:val="24"/>
        </w:rPr>
        <w:t>文件的要求，评标委员会将予以拒绝，</w:t>
      </w:r>
      <w:r>
        <w:rPr>
          <w:rFonts w:hint="eastAsia" w:ascii="宋体" w:hAnsi="宋体" w:cs="楷体_GB2312"/>
          <w:sz w:val="24"/>
        </w:rPr>
        <w:t>供应商</w:t>
      </w:r>
      <w:r>
        <w:rPr>
          <w:rFonts w:ascii="宋体" w:hAnsi="宋体" w:cs="楷体_GB2312"/>
          <w:sz w:val="24"/>
        </w:rPr>
        <w:t>不得通过修改或撤销不合要求的偏离或保留而使其投标成为实质性响应的投标。</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6、对于响应文件中含义不明确、同类问题表述不一致或者有明显文字和计算错误的内容，磋商小组应当以书面形式要求供应商作出必要的澄清、说明或者补正。</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供应商的澄清、说明或者补正应当采用书面形式，并加盖公章，或者由法定代表人或其授权的代表签字。供应商的澄清、说明或者补正不得超出响应文件的范围或者改变响应文件的实质性内容。</w:t>
      </w:r>
    </w:p>
    <w:p>
      <w:pPr>
        <w:tabs>
          <w:tab w:val="left" w:pos="2307"/>
        </w:tabs>
        <w:snapToGrid w:val="0"/>
        <w:spacing w:line="360" w:lineRule="auto"/>
        <w:ind w:firstLine="482" w:firstLineChars="200"/>
        <w:rPr>
          <w:rFonts w:ascii="宋体" w:hAnsi="宋体" w:cs="楷体_GB2312"/>
          <w:b/>
          <w:bCs/>
          <w:sz w:val="24"/>
        </w:rPr>
      </w:pPr>
      <w:r>
        <w:rPr>
          <w:rFonts w:hint="eastAsia" w:ascii="宋体" w:hAnsi="宋体" w:cs="楷体_GB2312"/>
          <w:b/>
          <w:bCs/>
          <w:sz w:val="24"/>
        </w:rPr>
        <w:t>供应商拒不按照评审小组要求作出澄清、说明或者补正的，作为无效响应处理。</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7</w:t>
      </w:r>
      <w:r>
        <w:rPr>
          <w:rFonts w:hint="eastAsia" w:ascii="宋体" w:hAnsi="宋体" w:cs="楷体_GB2312"/>
          <w:sz w:val="24"/>
        </w:rPr>
        <w:t>、响应文件报价出现前后不一致的，除采购文件另有规定外，按照下列规定修正：</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（1）响应文件中开标一览表（报价表）内容与响应文件中相应内容不一致的，以开标一览表（报价表）为准；</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（2）大写金额和小写金额不一致的，以大写金额为准；</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（3）单价金额小数点或者百分比有明显错位的，以报价一览表的总价为准，并修改单价；</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（4）总价金额与按单价汇总金额不一致的，以单价金额计算结果为准。</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同时出现两种以上不一致的，按照前款规定的顺序修正。修正后的报价按经供应商确认后产生约束力，供应商不确认的，作为无效响应文件处理。缺项漏项或者数量不符合磋商文件要求的作为无效响应文件处理；对不同文字文本响应文件的解释发生异议的，以中文文本为准。</w:t>
      </w:r>
    </w:p>
    <w:p>
      <w:pPr>
        <w:tabs>
          <w:tab w:val="left" w:pos="2307"/>
        </w:tabs>
        <w:snapToGrid w:val="0"/>
        <w:spacing w:line="360" w:lineRule="auto"/>
        <w:ind w:firstLine="482" w:firstLineChars="200"/>
        <w:rPr>
          <w:rFonts w:ascii="宋体" w:hAnsi="宋体" w:cs="楷体_GB2312"/>
          <w:b/>
          <w:bCs/>
          <w:sz w:val="24"/>
        </w:rPr>
      </w:pPr>
      <w:r>
        <w:rPr>
          <w:rFonts w:hint="eastAsia" w:ascii="宋体" w:hAnsi="宋体" w:cs="楷体_GB2312"/>
          <w:b/>
          <w:bCs/>
          <w:sz w:val="24"/>
        </w:rPr>
        <w:t>8、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9</w:t>
      </w:r>
      <w:r>
        <w:rPr>
          <w:rFonts w:hint="eastAsia" w:ascii="宋体" w:hAnsi="宋体" w:cs="楷体_GB2312"/>
          <w:sz w:val="24"/>
        </w:rPr>
        <w:t>、磋商小组决定的响应性只根据响应文件本身的内容，而不寻求外部的证据。</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10</w:t>
      </w:r>
      <w:r>
        <w:rPr>
          <w:rFonts w:hint="eastAsia" w:ascii="宋体" w:hAnsi="宋体" w:cs="楷体_GB2312"/>
          <w:sz w:val="24"/>
        </w:rPr>
        <w:t>、实质上没有响应磋商文件的报价将被拒绝。供应商不能通过修正或撤消不符合要求的偏离或保留从而使其响应成为实质上响应。</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11</w:t>
      </w:r>
      <w:r>
        <w:rPr>
          <w:rFonts w:hint="eastAsia" w:ascii="宋体" w:hAnsi="宋体" w:cs="楷体_GB2312"/>
          <w:sz w:val="24"/>
        </w:rPr>
        <w:t>、对于响应文件中不构成实质性偏差的不正规、不一致或不规则，磋商小组可以接受，但这种接受不能损坏或影响任何供应商的相对顺序。</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12</w:t>
      </w:r>
      <w:r>
        <w:rPr>
          <w:rFonts w:hint="eastAsia" w:ascii="宋体" w:hAnsi="宋体" w:cs="楷体_GB2312"/>
          <w:sz w:val="24"/>
        </w:rPr>
        <w:t>、磋商小组审查每份响应文件是否实质上响应了磋商文件的要求。实质性响应的响应是指响应符合磋商文件的所有条款、条件和规格，且没有重大偏离或保留。重大偏离或保留系指影响到磋商文件规定的范围、质量和性能，或限制了采购人的权利和供应商的义务的规定，而纠正这些偏离将影响到其他提交实质性的响应响应的供应商的公平竞争地位。所谓重大偏离是指：</w:t>
      </w:r>
    </w:p>
    <w:p>
      <w:pPr>
        <w:tabs>
          <w:tab w:val="left" w:pos="2307"/>
        </w:tabs>
        <w:snapToGrid w:val="0"/>
        <w:spacing w:line="360" w:lineRule="auto"/>
        <w:ind w:firstLine="482" w:firstLineChars="200"/>
        <w:rPr>
          <w:rFonts w:ascii="宋体" w:hAnsi="宋体" w:cs="楷体_GB2312"/>
          <w:b/>
          <w:sz w:val="24"/>
          <w:u w:val="single"/>
        </w:rPr>
      </w:pPr>
      <w:r>
        <w:rPr>
          <w:rFonts w:hint="eastAsia" w:ascii="宋体" w:hAnsi="宋体" w:cs="楷体_GB2312"/>
          <w:b/>
          <w:sz w:val="24"/>
          <w:u w:val="single"/>
        </w:rPr>
        <w:t>（</w:t>
      </w:r>
      <w:r>
        <w:rPr>
          <w:rFonts w:ascii="宋体" w:hAnsi="宋体" w:cs="楷体_GB2312"/>
          <w:b/>
          <w:sz w:val="24"/>
          <w:u w:val="single"/>
        </w:rPr>
        <w:t>1</w:t>
      </w:r>
      <w:r>
        <w:rPr>
          <w:rFonts w:hint="eastAsia" w:ascii="宋体" w:hAnsi="宋体" w:cs="楷体_GB2312"/>
          <w:b/>
          <w:sz w:val="24"/>
          <w:u w:val="single"/>
        </w:rPr>
        <w:t>）响应报价超过最高限价的；</w:t>
      </w:r>
    </w:p>
    <w:p>
      <w:pPr>
        <w:tabs>
          <w:tab w:val="left" w:pos="2307"/>
        </w:tabs>
        <w:snapToGrid w:val="0"/>
        <w:spacing w:line="360" w:lineRule="auto"/>
        <w:ind w:firstLine="482" w:firstLineChars="200"/>
        <w:rPr>
          <w:rFonts w:ascii="宋体" w:hAnsi="宋体" w:cs="楷体_GB2312"/>
          <w:b/>
          <w:sz w:val="24"/>
          <w:u w:val="single"/>
        </w:rPr>
      </w:pPr>
      <w:r>
        <w:rPr>
          <w:rFonts w:hint="eastAsia" w:ascii="宋体" w:hAnsi="宋体" w:cs="楷体_GB2312"/>
          <w:b/>
          <w:sz w:val="24"/>
          <w:u w:val="single"/>
        </w:rPr>
        <w:t>（</w:t>
      </w:r>
      <w:r>
        <w:rPr>
          <w:rFonts w:ascii="宋体" w:hAnsi="宋体" w:cs="楷体_GB2312"/>
          <w:b/>
          <w:sz w:val="24"/>
          <w:u w:val="single"/>
        </w:rPr>
        <w:t>2</w:t>
      </w:r>
      <w:r>
        <w:rPr>
          <w:rFonts w:hint="eastAsia" w:ascii="宋体" w:hAnsi="宋体" w:cs="楷体_GB2312"/>
          <w:b/>
          <w:sz w:val="24"/>
          <w:u w:val="single"/>
        </w:rPr>
        <w:t>）响应文件载明的采购项目的完成期限超过磋商文件规定的期限；</w:t>
      </w:r>
    </w:p>
    <w:p>
      <w:pPr>
        <w:tabs>
          <w:tab w:val="left" w:pos="2307"/>
        </w:tabs>
        <w:snapToGrid w:val="0"/>
        <w:spacing w:line="360" w:lineRule="auto"/>
        <w:ind w:firstLine="482" w:firstLineChars="200"/>
        <w:rPr>
          <w:rFonts w:ascii="宋体" w:hAnsi="宋体" w:cs="楷体_GB2312"/>
          <w:b/>
          <w:sz w:val="24"/>
          <w:u w:val="single"/>
        </w:rPr>
      </w:pPr>
      <w:r>
        <w:rPr>
          <w:rFonts w:hint="eastAsia" w:ascii="宋体" w:hAnsi="宋体" w:cs="楷体_GB2312"/>
          <w:b/>
          <w:sz w:val="24"/>
          <w:u w:val="single"/>
        </w:rPr>
        <w:t>（</w:t>
      </w:r>
      <w:r>
        <w:rPr>
          <w:rFonts w:ascii="宋体" w:hAnsi="宋体" w:cs="楷体_GB2312"/>
          <w:b/>
          <w:sz w:val="24"/>
          <w:u w:val="single"/>
        </w:rPr>
        <w:t>3</w:t>
      </w:r>
      <w:r>
        <w:rPr>
          <w:rFonts w:hint="eastAsia" w:ascii="宋体" w:hAnsi="宋体" w:cs="楷体_GB2312"/>
          <w:b/>
          <w:sz w:val="24"/>
          <w:u w:val="single"/>
        </w:rPr>
        <w:t>）响应文件背离磋商文件中规定的必要技术功能要求</w:t>
      </w:r>
    </w:p>
    <w:p>
      <w:pPr>
        <w:tabs>
          <w:tab w:val="left" w:pos="2307"/>
        </w:tabs>
        <w:snapToGrid w:val="0"/>
        <w:spacing w:line="360" w:lineRule="auto"/>
        <w:ind w:firstLine="482" w:firstLineChars="200"/>
        <w:rPr>
          <w:rFonts w:ascii="宋体" w:hAnsi="宋体" w:cs="楷体_GB2312"/>
          <w:b/>
          <w:sz w:val="24"/>
          <w:u w:val="single"/>
        </w:rPr>
      </w:pPr>
      <w:r>
        <w:rPr>
          <w:rFonts w:hint="eastAsia" w:ascii="宋体" w:hAnsi="宋体" w:cs="楷体_GB2312"/>
          <w:b/>
          <w:sz w:val="24"/>
          <w:u w:val="single"/>
        </w:rPr>
        <w:t>（</w:t>
      </w:r>
      <w:r>
        <w:rPr>
          <w:rFonts w:ascii="宋体" w:hAnsi="宋体" w:cs="楷体_GB2312"/>
          <w:b/>
          <w:sz w:val="24"/>
          <w:u w:val="single"/>
        </w:rPr>
        <w:t>4</w:t>
      </w:r>
      <w:r>
        <w:rPr>
          <w:rFonts w:hint="eastAsia" w:ascii="宋体" w:hAnsi="宋体" w:cs="楷体_GB2312"/>
          <w:b/>
          <w:sz w:val="24"/>
          <w:u w:val="single"/>
        </w:rPr>
        <w:t>）响应文件附有采购人不能接受的商务条件；</w:t>
      </w:r>
    </w:p>
    <w:p>
      <w:pPr>
        <w:tabs>
          <w:tab w:val="left" w:pos="2307"/>
        </w:tabs>
        <w:snapToGrid w:val="0"/>
        <w:spacing w:line="360" w:lineRule="auto"/>
        <w:ind w:firstLine="482" w:firstLineChars="200"/>
        <w:rPr>
          <w:rFonts w:ascii="宋体" w:hAnsi="宋体" w:cs="楷体_GB2312"/>
          <w:b/>
          <w:sz w:val="24"/>
          <w:u w:val="single"/>
        </w:rPr>
      </w:pPr>
      <w:r>
        <w:rPr>
          <w:rFonts w:hint="eastAsia" w:ascii="宋体" w:hAnsi="宋体" w:cs="楷体_GB2312"/>
          <w:b/>
          <w:sz w:val="24"/>
          <w:u w:val="single"/>
        </w:rPr>
        <w:t>（</w:t>
      </w:r>
      <w:r>
        <w:rPr>
          <w:rFonts w:ascii="宋体" w:hAnsi="宋体" w:cs="楷体_GB2312"/>
          <w:b/>
          <w:sz w:val="24"/>
          <w:u w:val="single"/>
        </w:rPr>
        <w:t>5</w:t>
      </w:r>
      <w:r>
        <w:rPr>
          <w:rFonts w:hint="eastAsia" w:ascii="宋体" w:hAnsi="宋体" w:cs="楷体_GB2312"/>
          <w:b/>
          <w:sz w:val="24"/>
          <w:u w:val="single"/>
        </w:rPr>
        <w:t>）不符合国家法律法规及磋商文件中规定的其他实质性要求；</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13</w:t>
      </w:r>
      <w:r>
        <w:rPr>
          <w:rFonts w:hint="eastAsia" w:ascii="宋体" w:hAnsi="宋体" w:cs="楷体_GB2312"/>
          <w:sz w:val="24"/>
        </w:rPr>
        <w:t>、磋商小组所有成员应当集中与单一供应商分别进行磋商，并给予所有参加磋商的供应商平等的磋商机会。</w:t>
      </w:r>
    </w:p>
    <w:p>
      <w:pPr>
        <w:tabs>
          <w:tab w:val="left" w:pos="2307"/>
        </w:tabs>
        <w:snapToGrid w:val="0"/>
        <w:spacing w:line="360" w:lineRule="auto"/>
        <w:ind w:firstLine="482" w:firstLineChars="200"/>
        <w:rPr>
          <w:rFonts w:ascii="宋体" w:hAnsi="宋体" w:cs="楷体_GB2312"/>
          <w:b/>
          <w:bCs/>
          <w:sz w:val="24"/>
        </w:rPr>
      </w:pPr>
      <w:r>
        <w:rPr>
          <w:rFonts w:hint="eastAsia" w:ascii="宋体" w:hAnsi="宋体" w:cs="楷体_GB2312"/>
          <w:b/>
          <w:bCs/>
          <w:sz w:val="24"/>
        </w:rPr>
        <w:t>1</w:t>
      </w:r>
      <w:r>
        <w:rPr>
          <w:rFonts w:ascii="宋体" w:hAnsi="宋体" w:cs="楷体_GB2312"/>
          <w:b/>
          <w:bCs/>
          <w:sz w:val="24"/>
        </w:rPr>
        <w:t>4</w:t>
      </w:r>
      <w:r>
        <w:rPr>
          <w:rFonts w:hint="eastAsia" w:ascii="宋体" w:hAnsi="宋体" w:cs="楷体_GB2312"/>
          <w:b/>
          <w:bCs/>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企业负责人或授权代表签字或者加盖公章。由授权代表签字的，应当附企业负责人授权书。供应商为自然人的，应当由本人签字并附身份证明。</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1</w:t>
      </w:r>
      <w:r>
        <w:rPr>
          <w:rFonts w:ascii="宋体" w:hAnsi="宋体" w:cs="楷体_GB2312"/>
          <w:sz w:val="24"/>
        </w:rPr>
        <w:t>5</w:t>
      </w:r>
      <w:r>
        <w:rPr>
          <w:rFonts w:hint="eastAsia" w:ascii="宋体" w:hAnsi="宋体" w:cs="楷体_GB2312"/>
          <w:sz w:val="24"/>
        </w:rPr>
        <w:t>、经磋商确定最终采购需求和提交最后报价的供应商后，由磋商小组采用综合评分法对提交最后报价的供应商的响应文件和最后报价进行综合评分。</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1</w:t>
      </w:r>
      <w:r>
        <w:rPr>
          <w:rFonts w:ascii="宋体" w:hAnsi="宋体" w:cs="楷体_GB2312"/>
          <w:sz w:val="24"/>
        </w:rPr>
        <w:t>6</w:t>
      </w:r>
      <w:r>
        <w:rPr>
          <w:rFonts w:hint="eastAsia" w:ascii="宋体" w:hAnsi="宋体" w:cs="楷体_GB2312"/>
          <w:sz w:val="24"/>
        </w:rPr>
        <w:t>、磋商小组应当根据综合评分情况，按照评审得分由高到低顺序推荐成交候选供应商，并编写评审报告。评审得分相同的，按照最后报价由低到高的顺序推荐。</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1</w:t>
      </w:r>
      <w:r>
        <w:rPr>
          <w:rFonts w:ascii="宋体" w:hAnsi="宋体" w:cs="楷体_GB2312"/>
          <w:sz w:val="24"/>
        </w:rPr>
        <w:t>7</w:t>
      </w:r>
      <w:r>
        <w:rPr>
          <w:rFonts w:hint="eastAsia" w:ascii="宋体" w:hAnsi="宋体" w:cs="楷体_GB2312"/>
          <w:sz w:val="24"/>
        </w:rPr>
        <w:t>、在磋商期间，供应商不得向评委询问评审情况，不得进行影响评审结果的活动。</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1</w:t>
      </w:r>
      <w:r>
        <w:rPr>
          <w:rFonts w:ascii="宋体" w:hAnsi="宋体" w:cs="楷体_GB2312"/>
          <w:sz w:val="24"/>
        </w:rPr>
        <w:t>8</w:t>
      </w:r>
      <w:r>
        <w:rPr>
          <w:rFonts w:hint="eastAsia" w:ascii="宋体" w:hAnsi="宋体" w:cs="楷体_GB2312"/>
          <w:sz w:val="24"/>
        </w:rPr>
        <w:t>、为保证项目的公正性，在评审过程中，评委不得与供应商私下交换意见。在采购工作结束后，凡与评审情况有接触的任何人不得也不应将评审情况扩散出评委人员之外。</w:t>
      </w:r>
    </w:p>
    <w:p>
      <w:pPr>
        <w:spacing w:line="360" w:lineRule="auto"/>
        <w:ind w:firstLine="480" w:firstLineChars="200"/>
        <w:jc w:val="left"/>
        <w:rPr>
          <w:rFonts w:ascii="宋体" w:hAnsi="宋体" w:cs="宋体"/>
          <w:bCs/>
          <w:sz w:val="24"/>
        </w:rPr>
      </w:pPr>
      <w:r>
        <w:rPr>
          <w:rFonts w:hint="eastAsia" w:ascii="宋体" w:hAnsi="宋体" w:cs="宋体"/>
          <w:bCs/>
          <w:sz w:val="24"/>
        </w:rPr>
        <w:t>1</w:t>
      </w:r>
      <w:r>
        <w:rPr>
          <w:rFonts w:ascii="宋体" w:hAnsi="宋体" w:cs="宋体"/>
          <w:bCs/>
          <w:sz w:val="24"/>
        </w:rPr>
        <w:t>9</w:t>
      </w:r>
      <w:r>
        <w:rPr>
          <w:rFonts w:hint="eastAsia" w:ascii="宋体" w:hAnsi="宋体" w:cs="宋体"/>
          <w:bCs/>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0" w:firstLineChars="200"/>
        <w:jc w:val="left"/>
        <w:rPr>
          <w:rFonts w:ascii="宋体" w:hAnsi="宋体" w:cs="宋体"/>
          <w:bCs/>
          <w:sz w:val="24"/>
        </w:rPr>
      </w:pPr>
      <w:r>
        <w:rPr>
          <w:rFonts w:ascii="宋体" w:hAnsi="宋体" w:cs="宋体"/>
          <w:bCs/>
          <w:sz w:val="24"/>
        </w:rPr>
        <w:t>20</w:t>
      </w:r>
      <w:r>
        <w:rPr>
          <w:rFonts w:hint="eastAsia" w:ascii="宋体" w:hAnsi="宋体" w:cs="宋体"/>
          <w:bCs/>
          <w:sz w:val="24"/>
        </w:rPr>
        <w:t>、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21</w:t>
      </w:r>
      <w:r>
        <w:rPr>
          <w:rFonts w:hint="eastAsia" w:ascii="宋体" w:hAnsi="宋体" w:cs="楷体_GB2312"/>
          <w:sz w:val="24"/>
        </w:rPr>
        <w:t>、磋商小组不向未成交供应商解释原因，不退还响应文件。</w:t>
      </w:r>
    </w:p>
    <w:p>
      <w:pPr>
        <w:pStyle w:val="20"/>
        <w:spacing w:line="360" w:lineRule="auto"/>
        <w:outlineLvl w:val="1"/>
        <w:rPr>
          <w:rFonts w:ascii="宋体" w:hAnsi="宋体"/>
          <w:sz w:val="24"/>
          <w:szCs w:val="24"/>
        </w:rPr>
      </w:pPr>
      <w:bookmarkStart w:id="27" w:name="_Toc165282391"/>
      <w:bookmarkStart w:id="28" w:name="_Toc92663928"/>
      <w:r>
        <w:rPr>
          <w:rFonts w:hint="eastAsia" w:ascii="宋体" w:hAnsi="宋体"/>
          <w:sz w:val="24"/>
          <w:szCs w:val="24"/>
        </w:rPr>
        <w:t>五、确定成交</w:t>
      </w:r>
      <w:bookmarkEnd w:id="27"/>
      <w:bookmarkEnd w:id="28"/>
    </w:p>
    <w:p>
      <w:pPr>
        <w:snapToGrid w:val="0"/>
        <w:spacing w:line="360" w:lineRule="auto"/>
        <w:ind w:firstLine="482" w:firstLineChars="200"/>
        <w:rPr>
          <w:rFonts w:ascii="宋体" w:hAnsi="宋体" w:cs="楷体_GB2312"/>
          <w:b/>
          <w:sz w:val="24"/>
        </w:rPr>
      </w:pPr>
      <w:r>
        <w:rPr>
          <w:rFonts w:hint="eastAsia" w:ascii="宋体" w:hAnsi="宋体" w:cs="楷体_GB2312"/>
          <w:b/>
          <w:sz w:val="24"/>
        </w:rPr>
        <w:t>（十）确定成交候选供应商</w:t>
      </w:r>
    </w:p>
    <w:p>
      <w:pPr>
        <w:tabs>
          <w:tab w:val="left" w:pos="2307"/>
        </w:tabs>
        <w:snapToGrid w:val="0"/>
        <w:spacing w:line="360" w:lineRule="auto"/>
        <w:ind w:firstLine="480" w:firstLineChars="200"/>
        <w:rPr>
          <w:rFonts w:ascii="宋体" w:hAnsi="宋体" w:cs="宋体"/>
          <w:bCs/>
          <w:sz w:val="24"/>
        </w:rPr>
      </w:pPr>
      <w:r>
        <w:rPr>
          <w:rFonts w:hint="eastAsia" w:ascii="宋体" w:hAnsi="宋体" w:cs="宋体"/>
          <w:bCs/>
          <w:sz w:val="24"/>
        </w:rPr>
        <w:t>成交候选供应商的确定原则及标准，详见第五章。</w:t>
      </w:r>
    </w:p>
    <w:p>
      <w:pPr>
        <w:snapToGrid w:val="0"/>
        <w:spacing w:line="360" w:lineRule="auto"/>
        <w:ind w:firstLine="482" w:firstLineChars="200"/>
        <w:rPr>
          <w:rFonts w:ascii="宋体" w:hAnsi="宋体" w:cs="楷体_GB2312"/>
          <w:b/>
          <w:sz w:val="24"/>
        </w:rPr>
      </w:pPr>
      <w:r>
        <w:rPr>
          <w:rFonts w:hint="eastAsia" w:ascii="宋体" w:hAnsi="宋体" w:cs="楷体_GB2312"/>
          <w:b/>
          <w:sz w:val="24"/>
        </w:rPr>
        <w:t>（十一）中标公告</w:t>
      </w:r>
    </w:p>
    <w:p>
      <w:pPr>
        <w:tabs>
          <w:tab w:val="left" w:pos="2307"/>
        </w:tabs>
        <w:snapToGrid w:val="0"/>
        <w:spacing w:line="360" w:lineRule="auto"/>
        <w:ind w:firstLine="480" w:firstLineChars="200"/>
        <w:rPr>
          <w:rFonts w:ascii="宋体" w:hAnsi="宋体" w:cs="宋体"/>
          <w:bCs/>
          <w:sz w:val="24"/>
        </w:rPr>
      </w:pPr>
      <w:r>
        <w:rPr>
          <w:rFonts w:hint="eastAsia" w:ascii="宋体" w:hAnsi="宋体" w:cs="宋体"/>
          <w:bCs/>
          <w:sz w:val="24"/>
        </w:rPr>
        <w:t>采购人或者采购代理机构应当自中标单位确定之日起2个工作日内在发布采购公告的媒体上公告成交结果，中标通知书将同时发出，中标公告期限为1个工作日。</w:t>
      </w:r>
    </w:p>
    <w:p>
      <w:pPr>
        <w:snapToGrid w:val="0"/>
        <w:spacing w:line="360" w:lineRule="auto"/>
        <w:ind w:firstLine="482" w:firstLineChars="200"/>
        <w:rPr>
          <w:rFonts w:ascii="宋体" w:hAnsi="宋体" w:cs="楷体_GB2312"/>
          <w:b/>
          <w:sz w:val="24"/>
        </w:rPr>
      </w:pPr>
      <w:r>
        <w:rPr>
          <w:rFonts w:hint="eastAsia" w:ascii="宋体" w:hAnsi="宋体" w:cs="楷体_GB2312"/>
          <w:b/>
          <w:sz w:val="24"/>
        </w:rPr>
        <w:t>（十二）采购项目的废标</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1、评审中作为终止竞争性磋商活动的情况：</w:t>
      </w:r>
    </w:p>
    <w:p>
      <w:pPr>
        <w:tabs>
          <w:tab w:val="left" w:pos="2307"/>
        </w:tabs>
        <w:snapToGrid w:val="0"/>
        <w:spacing w:line="360" w:lineRule="auto"/>
        <w:ind w:firstLine="482" w:firstLineChars="200"/>
        <w:rPr>
          <w:rFonts w:ascii="宋体" w:hAnsi="宋体" w:cs="楷体_GB2312"/>
          <w:b/>
          <w:sz w:val="24"/>
          <w:u w:val="single"/>
        </w:rPr>
      </w:pPr>
      <w:r>
        <w:rPr>
          <w:rFonts w:ascii="宋体" w:hAnsi="宋体" w:cs="楷体_GB2312"/>
          <w:b/>
          <w:sz w:val="24"/>
          <w:u w:val="single"/>
        </w:rPr>
        <w:t>1</w:t>
      </w:r>
      <w:r>
        <w:rPr>
          <w:rFonts w:hint="eastAsia" w:ascii="宋体" w:hAnsi="宋体" w:cs="楷体_GB2312"/>
          <w:b/>
          <w:sz w:val="24"/>
          <w:u w:val="single"/>
        </w:rPr>
        <w:t>）因情况变化，不再符合规定的竞争性磋商采购方式适用情形；</w:t>
      </w:r>
    </w:p>
    <w:p>
      <w:pPr>
        <w:tabs>
          <w:tab w:val="left" w:pos="2307"/>
        </w:tabs>
        <w:snapToGrid w:val="0"/>
        <w:spacing w:line="360" w:lineRule="auto"/>
        <w:ind w:firstLine="482" w:firstLineChars="200"/>
        <w:rPr>
          <w:rFonts w:ascii="宋体" w:hAnsi="宋体" w:cs="楷体_GB2312"/>
          <w:b/>
          <w:sz w:val="24"/>
          <w:u w:val="single"/>
        </w:rPr>
      </w:pPr>
      <w:r>
        <w:rPr>
          <w:rFonts w:hint="eastAsia" w:ascii="宋体" w:hAnsi="宋体" w:cs="楷体_GB2312"/>
          <w:b/>
          <w:sz w:val="24"/>
          <w:u w:val="single"/>
        </w:rPr>
        <w:t>2）出现影响采购公正的违法、违规行为的；</w:t>
      </w:r>
    </w:p>
    <w:p>
      <w:pPr>
        <w:tabs>
          <w:tab w:val="left" w:pos="2307"/>
        </w:tabs>
        <w:snapToGrid w:val="0"/>
        <w:spacing w:line="360" w:lineRule="auto"/>
        <w:ind w:firstLine="482" w:firstLineChars="200"/>
        <w:rPr>
          <w:rFonts w:ascii="宋体" w:hAnsi="宋体" w:cs="楷体_GB2312"/>
          <w:b/>
          <w:sz w:val="24"/>
          <w:u w:val="single"/>
        </w:rPr>
      </w:pPr>
      <w:r>
        <w:rPr>
          <w:rFonts w:ascii="宋体" w:hAnsi="宋体" w:cs="楷体_GB2312"/>
          <w:b/>
          <w:sz w:val="24"/>
          <w:u w:val="single"/>
        </w:rPr>
        <w:t>3</w:t>
      </w:r>
      <w:r>
        <w:rPr>
          <w:rFonts w:hint="eastAsia" w:ascii="宋体" w:hAnsi="宋体" w:cs="楷体_GB2312"/>
          <w:b/>
          <w:sz w:val="24"/>
          <w:u w:val="single"/>
        </w:rPr>
        <w:t>）供应商的最终报价均超过了采购预算，采购人不能支付的；</w:t>
      </w:r>
    </w:p>
    <w:p>
      <w:pPr>
        <w:tabs>
          <w:tab w:val="left" w:pos="2307"/>
        </w:tabs>
        <w:snapToGrid w:val="0"/>
        <w:spacing w:line="360" w:lineRule="auto"/>
        <w:ind w:firstLine="482" w:firstLineChars="200"/>
        <w:rPr>
          <w:rFonts w:ascii="宋体" w:hAnsi="宋体" w:cs="楷体_GB2312"/>
          <w:b/>
          <w:sz w:val="24"/>
          <w:u w:val="single"/>
        </w:rPr>
      </w:pPr>
      <w:r>
        <w:rPr>
          <w:rFonts w:hint="eastAsia" w:ascii="宋体" w:hAnsi="宋体" w:cs="楷体_GB2312"/>
          <w:b/>
          <w:sz w:val="24"/>
          <w:u w:val="single"/>
        </w:rPr>
        <w:t>4）因重大变故，采购任务取消的。</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2、成交供应商有下列情形之一的，将不予退还其交纳的磋商保证金或履约保证金；情节严重的，由财政部门将其列入不良行为记录名单，在一至三年内禁止参加采购活动，并予以通报：</w:t>
      </w:r>
    </w:p>
    <w:p>
      <w:pPr>
        <w:tabs>
          <w:tab w:val="left" w:pos="2307"/>
        </w:tabs>
        <w:snapToGrid w:val="0"/>
        <w:spacing w:line="360" w:lineRule="auto"/>
        <w:ind w:firstLine="482" w:firstLineChars="200"/>
        <w:rPr>
          <w:rFonts w:ascii="宋体" w:hAnsi="宋体" w:cs="楷体_GB2312"/>
          <w:b/>
          <w:sz w:val="24"/>
          <w:u w:val="single"/>
        </w:rPr>
      </w:pPr>
      <w:r>
        <w:rPr>
          <w:rFonts w:ascii="宋体" w:hAnsi="宋体" w:cs="楷体_GB2312"/>
          <w:b/>
          <w:sz w:val="24"/>
          <w:u w:val="single"/>
        </w:rPr>
        <w:t>1</w:t>
      </w:r>
      <w:r>
        <w:rPr>
          <w:rFonts w:hint="eastAsia" w:ascii="宋体" w:hAnsi="宋体" w:cs="楷体_GB2312"/>
          <w:b/>
          <w:sz w:val="24"/>
          <w:u w:val="single"/>
        </w:rPr>
        <w:t>）成交后无正当理由不与采购人或者采购代理机构签订合同的；</w:t>
      </w:r>
    </w:p>
    <w:p>
      <w:pPr>
        <w:tabs>
          <w:tab w:val="left" w:pos="2307"/>
        </w:tabs>
        <w:snapToGrid w:val="0"/>
        <w:spacing w:line="360" w:lineRule="auto"/>
        <w:ind w:firstLine="482" w:firstLineChars="200"/>
        <w:rPr>
          <w:rFonts w:ascii="宋体" w:hAnsi="宋体" w:cs="楷体_GB2312"/>
          <w:b/>
          <w:sz w:val="24"/>
          <w:u w:val="single"/>
        </w:rPr>
      </w:pPr>
      <w:r>
        <w:rPr>
          <w:rFonts w:ascii="宋体" w:hAnsi="宋体" w:cs="楷体_GB2312"/>
          <w:b/>
          <w:sz w:val="24"/>
          <w:u w:val="single"/>
        </w:rPr>
        <w:t>2</w:t>
      </w:r>
      <w:r>
        <w:rPr>
          <w:rFonts w:hint="eastAsia" w:ascii="宋体" w:hAnsi="宋体" w:cs="楷体_GB2312"/>
          <w:b/>
          <w:sz w:val="24"/>
          <w:u w:val="single"/>
        </w:rPr>
        <w:t>）违反政府采购法相关法律法规的；</w:t>
      </w:r>
    </w:p>
    <w:p>
      <w:pPr>
        <w:tabs>
          <w:tab w:val="left" w:pos="2307"/>
        </w:tabs>
        <w:snapToGrid w:val="0"/>
        <w:spacing w:line="360" w:lineRule="auto"/>
        <w:ind w:firstLine="482" w:firstLineChars="200"/>
        <w:rPr>
          <w:rFonts w:ascii="宋体" w:hAnsi="宋体" w:cs="楷体_GB2312"/>
          <w:b/>
          <w:sz w:val="24"/>
          <w:u w:val="single"/>
        </w:rPr>
      </w:pPr>
      <w:r>
        <w:rPr>
          <w:rFonts w:ascii="宋体" w:hAnsi="宋体" w:cs="楷体_GB2312"/>
          <w:b/>
          <w:sz w:val="24"/>
          <w:u w:val="single"/>
        </w:rPr>
        <w:t>3</w:t>
      </w:r>
      <w:r>
        <w:rPr>
          <w:rFonts w:hint="eastAsia" w:ascii="宋体" w:hAnsi="宋体" w:cs="楷体_GB2312"/>
          <w:b/>
          <w:sz w:val="24"/>
          <w:u w:val="single"/>
        </w:rPr>
        <w:t>）转包或未经采购人同意违法分包的；</w:t>
      </w:r>
    </w:p>
    <w:p>
      <w:pPr>
        <w:tabs>
          <w:tab w:val="left" w:pos="2307"/>
        </w:tabs>
        <w:snapToGrid w:val="0"/>
        <w:spacing w:line="360" w:lineRule="auto"/>
        <w:ind w:firstLine="482" w:firstLineChars="200"/>
        <w:rPr>
          <w:rFonts w:ascii="宋体" w:hAnsi="宋体" w:cs="楷体_GB2312"/>
          <w:b/>
          <w:sz w:val="24"/>
          <w:u w:val="single"/>
        </w:rPr>
      </w:pPr>
      <w:r>
        <w:rPr>
          <w:rFonts w:ascii="宋体" w:hAnsi="宋体" w:cs="楷体_GB2312"/>
          <w:b/>
          <w:sz w:val="24"/>
          <w:u w:val="single"/>
        </w:rPr>
        <w:t>4</w:t>
      </w:r>
      <w:r>
        <w:rPr>
          <w:rFonts w:hint="eastAsia" w:ascii="宋体" w:hAnsi="宋体" w:cs="楷体_GB2312"/>
          <w:b/>
          <w:sz w:val="24"/>
          <w:u w:val="single"/>
        </w:rPr>
        <w:t>）拒绝履行合同义务的。</w:t>
      </w:r>
    </w:p>
    <w:p>
      <w:pPr>
        <w:snapToGrid w:val="0"/>
        <w:spacing w:line="360" w:lineRule="auto"/>
        <w:ind w:firstLine="482" w:firstLineChars="200"/>
        <w:rPr>
          <w:rFonts w:ascii="宋体" w:hAnsi="宋体" w:cs="楷体_GB2312"/>
          <w:b/>
          <w:sz w:val="24"/>
        </w:rPr>
      </w:pPr>
      <w:r>
        <w:rPr>
          <w:rFonts w:hint="eastAsia" w:ascii="宋体" w:hAnsi="宋体" w:cs="楷体_GB2312"/>
          <w:b/>
          <w:sz w:val="24"/>
        </w:rPr>
        <w:t>（十三）成交资格无效的确认</w:t>
      </w:r>
    </w:p>
    <w:p>
      <w:pPr>
        <w:tabs>
          <w:tab w:val="left" w:pos="2307"/>
        </w:tabs>
        <w:snapToGrid w:val="0"/>
        <w:spacing w:line="360" w:lineRule="auto"/>
        <w:ind w:firstLine="482" w:firstLineChars="200"/>
        <w:rPr>
          <w:rFonts w:ascii="宋体" w:hAnsi="宋体" w:cs="楷体_GB2312"/>
          <w:b/>
          <w:sz w:val="24"/>
          <w:u w:val="single"/>
        </w:rPr>
      </w:pPr>
      <w:r>
        <w:rPr>
          <w:rFonts w:hint="eastAsia" w:ascii="宋体" w:hAnsi="宋体" w:cs="楷体_GB2312"/>
          <w:b/>
          <w:sz w:val="24"/>
          <w:u w:val="single"/>
        </w:rPr>
        <w:t>1）提供虚假材料谋取成交的；</w:t>
      </w:r>
    </w:p>
    <w:p>
      <w:pPr>
        <w:tabs>
          <w:tab w:val="left" w:pos="2307"/>
        </w:tabs>
        <w:snapToGrid w:val="0"/>
        <w:spacing w:line="360" w:lineRule="auto"/>
        <w:ind w:firstLine="482" w:firstLineChars="200"/>
        <w:rPr>
          <w:rFonts w:ascii="宋体" w:hAnsi="宋体" w:cs="楷体_GB2312"/>
          <w:b/>
          <w:sz w:val="24"/>
          <w:u w:val="single"/>
        </w:rPr>
      </w:pPr>
      <w:r>
        <w:rPr>
          <w:rFonts w:hint="eastAsia" w:ascii="宋体" w:hAnsi="宋体" w:cs="楷体_GB2312"/>
          <w:b/>
          <w:sz w:val="24"/>
          <w:u w:val="single"/>
        </w:rPr>
        <w:t>2）采取不正当手段诋毁、排挤其他供应商的；</w:t>
      </w:r>
    </w:p>
    <w:p>
      <w:pPr>
        <w:tabs>
          <w:tab w:val="left" w:pos="2307"/>
        </w:tabs>
        <w:snapToGrid w:val="0"/>
        <w:spacing w:line="360" w:lineRule="auto"/>
        <w:ind w:firstLine="482" w:firstLineChars="200"/>
        <w:rPr>
          <w:rFonts w:ascii="宋体" w:hAnsi="宋体" w:cs="楷体_GB2312"/>
          <w:b/>
          <w:sz w:val="24"/>
          <w:u w:val="single"/>
        </w:rPr>
      </w:pPr>
      <w:r>
        <w:rPr>
          <w:rFonts w:ascii="宋体" w:hAnsi="宋体" w:cs="楷体_GB2312"/>
          <w:b/>
          <w:sz w:val="24"/>
          <w:u w:val="single"/>
        </w:rPr>
        <w:t>3</w:t>
      </w:r>
      <w:r>
        <w:rPr>
          <w:rFonts w:hint="eastAsia" w:ascii="宋体" w:hAnsi="宋体" w:cs="楷体_GB2312"/>
          <w:b/>
          <w:sz w:val="24"/>
          <w:u w:val="single"/>
        </w:rPr>
        <w:t>）与采购人、其他供应商或者采购代理机构恶意串通的；</w:t>
      </w:r>
    </w:p>
    <w:p>
      <w:pPr>
        <w:tabs>
          <w:tab w:val="left" w:pos="2307"/>
        </w:tabs>
        <w:snapToGrid w:val="0"/>
        <w:spacing w:line="360" w:lineRule="auto"/>
        <w:ind w:firstLine="482" w:firstLineChars="200"/>
        <w:rPr>
          <w:rFonts w:ascii="宋体" w:hAnsi="宋体" w:cs="楷体_GB2312"/>
          <w:b/>
          <w:sz w:val="24"/>
          <w:u w:val="single"/>
        </w:rPr>
      </w:pPr>
      <w:r>
        <w:rPr>
          <w:rFonts w:ascii="宋体" w:hAnsi="宋体" w:cs="楷体_GB2312"/>
          <w:b/>
          <w:sz w:val="24"/>
          <w:u w:val="single"/>
        </w:rPr>
        <w:t>4</w:t>
      </w:r>
      <w:r>
        <w:rPr>
          <w:rFonts w:hint="eastAsia" w:ascii="宋体" w:hAnsi="宋体" w:cs="楷体_GB2312"/>
          <w:b/>
          <w:sz w:val="24"/>
          <w:u w:val="single"/>
        </w:rPr>
        <w:t>）向采购人、采购代理机构、评审委员会组成人员行贿或者提供其他不正当利益的；</w:t>
      </w:r>
    </w:p>
    <w:p>
      <w:pPr>
        <w:tabs>
          <w:tab w:val="left" w:pos="2307"/>
        </w:tabs>
        <w:snapToGrid w:val="0"/>
        <w:spacing w:line="360" w:lineRule="auto"/>
        <w:ind w:firstLine="482" w:firstLineChars="200"/>
        <w:rPr>
          <w:rFonts w:ascii="宋体" w:hAnsi="宋体" w:cs="楷体_GB2312"/>
          <w:b/>
          <w:sz w:val="24"/>
          <w:u w:val="single"/>
        </w:rPr>
      </w:pPr>
      <w:r>
        <w:rPr>
          <w:rFonts w:hint="eastAsia" w:ascii="宋体" w:hAnsi="宋体" w:cs="楷体_GB2312"/>
          <w:b/>
          <w:sz w:val="24"/>
          <w:u w:val="single"/>
        </w:rPr>
        <w:t>5）拒绝有关部门监督检查或者提供虚假情况的。</w:t>
      </w:r>
    </w:p>
    <w:p>
      <w:pPr>
        <w:tabs>
          <w:tab w:val="left" w:pos="2307"/>
        </w:tabs>
        <w:snapToGrid w:val="0"/>
        <w:spacing w:line="360" w:lineRule="auto"/>
        <w:ind w:firstLine="482" w:firstLineChars="200"/>
        <w:rPr>
          <w:rFonts w:ascii="宋体" w:hAnsi="宋体" w:cs="楷体_GB2312"/>
          <w:b/>
          <w:bCs/>
          <w:sz w:val="24"/>
        </w:rPr>
      </w:pPr>
      <w:r>
        <w:rPr>
          <w:rFonts w:hint="eastAsia" w:ascii="宋体" w:hAnsi="宋体" w:cs="楷体_GB2312"/>
          <w:b/>
          <w:bCs/>
          <w:sz w:val="24"/>
        </w:rPr>
        <w:t>供应商有上述（1）至（5）项情形之一的，中标无效 ，若造成采购人损失的采购人有权要求其赔偿相关损失。</w:t>
      </w:r>
    </w:p>
    <w:p>
      <w:pPr>
        <w:snapToGrid w:val="0"/>
        <w:spacing w:line="360" w:lineRule="auto"/>
        <w:ind w:firstLine="482" w:firstLineChars="200"/>
        <w:rPr>
          <w:rFonts w:ascii="宋体" w:hAnsi="宋体" w:cs="楷体_GB2312"/>
          <w:b/>
          <w:sz w:val="24"/>
        </w:rPr>
      </w:pPr>
      <w:r>
        <w:rPr>
          <w:rFonts w:hint="eastAsia" w:ascii="宋体" w:hAnsi="宋体" w:cs="楷体_GB2312"/>
          <w:b/>
          <w:sz w:val="24"/>
        </w:rPr>
        <w:t>（十四）中标通知书</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1、在磋商有效期内，在公告中标结果的同时，采购人或者采购代理机构向中标人发出中标通知书。</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2、成交通知对采购人和成交供应商具有法律约束力。成交通知书发出后，采购人改变成交结果或者成交供应商放弃中标，均应当承担相应的法律责任，且不影响代理服务费的支付。</w:t>
      </w:r>
    </w:p>
    <w:p>
      <w:pPr>
        <w:snapToGrid w:val="0"/>
        <w:spacing w:line="360" w:lineRule="auto"/>
        <w:ind w:firstLine="482" w:firstLineChars="200"/>
        <w:rPr>
          <w:rFonts w:ascii="宋体" w:hAnsi="宋体" w:cs="楷体_GB2312"/>
          <w:b/>
          <w:sz w:val="24"/>
        </w:rPr>
      </w:pPr>
      <w:r>
        <w:rPr>
          <w:rFonts w:hint="eastAsia" w:ascii="宋体" w:hAnsi="宋体" w:cs="楷体_GB2312"/>
          <w:b/>
          <w:sz w:val="24"/>
        </w:rPr>
        <w:t>（十五）签订合同</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1</w:t>
      </w:r>
      <w:r>
        <w:rPr>
          <w:rFonts w:hint="eastAsia" w:ascii="宋体" w:hAnsi="宋体" w:cs="楷体_GB2312"/>
          <w:sz w:val="24"/>
        </w:rPr>
        <w:t>、</w:t>
      </w:r>
      <w:r>
        <w:rPr>
          <w:rFonts w:hint="eastAsia" w:ascii="宋体" w:hAnsi="宋体" w:cs="楷体_GB2312"/>
          <w:b/>
          <w:bCs/>
          <w:sz w:val="24"/>
          <w:u w:val="single"/>
        </w:rPr>
        <w:t>采购人与成交供应商应当在成交通知书发出之日起</w:t>
      </w:r>
      <w:r>
        <w:rPr>
          <w:rFonts w:ascii="宋体" w:hAnsi="宋体" w:cs="楷体_GB2312"/>
          <w:b/>
          <w:bCs/>
          <w:sz w:val="24"/>
          <w:u w:val="single"/>
        </w:rPr>
        <w:t>15</w:t>
      </w:r>
      <w:r>
        <w:rPr>
          <w:rFonts w:hint="eastAsia" w:ascii="宋体" w:hAnsi="宋体" w:cs="楷体_GB2312"/>
          <w:b/>
          <w:bCs/>
          <w:sz w:val="24"/>
          <w:u w:val="single"/>
        </w:rPr>
        <w:t>日内</w:t>
      </w:r>
      <w:r>
        <w:rPr>
          <w:rFonts w:hint="eastAsia" w:ascii="宋体" w:hAnsi="宋体" w:cs="楷体_GB2312"/>
          <w:sz w:val="24"/>
        </w:rPr>
        <w:t>，按照磋商文件确定的合同文本以及采购标的、规格型号、采购金额、采购数量、技术和服务要求等事项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2</w:t>
      </w:r>
      <w:r>
        <w:rPr>
          <w:rFonts w:hint="eastAsia" w:ascii="宋体" w:hAnsi="宋体" w:cs="楷体_GB2312"/>
          <w:sz w:val="24"/>
        </w:rPr>
        <w:t>、领取成交通知书时，成交供应商向采购人缴纳履约保证金，履约保证金在项目验收合格后退还，不计息（如有）。</w:t>
      </w:r>
    </w:p>
    <w:p>
      <w:pPr>
        <w:snapToGrid w:val="0"/>
        <w:spacing w:line="360" w:lineRule="auto"/>
        <w:ind w:firstLine="482" w:firstLineChars="200"/>
        <w:rPr>
          <w:rFonts w:ascii="宋体" w:hAnsi="宋体" w:cs="楷体_GB2312"/>
          <w:b/>
          <w:sz w:val="24"/>
        </w:rPr>
      </w:pPr>
      <w:r>
        <w:rPr>
          <w:rFonts w:hint="eastAsia" w:ascii="宋体" w:hAnsi="宋体" w:cs="楷体_GB2312"/>
          <w:b/>
          <w:sz w:val="24"/>
        </w:rPr>
        <w:t>（十六）保密</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参与磋商活动的当事人应对磋商文件和响应文件中的商业秘密保密，违者应对由此造成的后果承担法律责任。</w:t>
      </w:r>
    </w:p>
    <w:p>
      <w:pPr>
        <w:snapToGrid w:val="0"/>
        <w:spacing w:line="360" w:lineRule="auto"/>
        <w:ind w:firstLine="482" w:firstLineChars="200"/>
        <w:rPr>
          <w:rFonts w:ascii="宋体" w:hAnsi="宋体" w:cs="楷体_GB2312"/>
          <w:b/>
          <w:sz w:val="24"/>
        </w:rPr>
      </w:pPr>
      <w:r>
        <w:rPr>
          <w:rFonts w:hint="eastAsia" w:ascii="宋体" w:hAnsi="宋体" w:cs="楷体_GB2312"/>
          <w:b/>
          <w:sz w:val="24"/>
        </w:rPr>
        <w:t>（十七）其他条款</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1</w:t>
      </w:r>
      <w:r>
        <w:rPr>
          <w:rFonts w:hint="eastAsia" w:ascii="宋体" w:hAnsi="宋体" w:cs="楷体_GB2312"/>
          <w:sz w:val="24"/>
        </w:rPr>
        <w:t>、供应商成交后直至验收止，未经采购人同意，成交供应商不得以任何形式和理由转包或者分包；如出现上述情形，采购人向有关部门出申请并经批准后，可取消其成交资格，并与其立即解除合同，由此引起的经济损失全部由成交供应商承担。</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2</w:t>
      </w:r>
      <w:r>
        <w:rPr>
          <w:rFonts w:hint="eastAsia" w:ascii="宋体" w:hAnsi="宋体" w:cs="楷体_GB2312"/>
          <w:sz w:val="24"/>
        </w:rPr>
        <w:t>、不论采购过程和结果如何，供应商的响应文件（包括成交供应商提供的样品）均不退还；未成交的供应商提供的样品予以退还。</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3</w:t>
      </w:r>
      <w:r>
        <w:rPr>
          <w:rFonts w:hint="eastAsia" w:ascii="宋体" w:hAnsi="宋体" w:cs="楷体_GB2312"/>
          <w:sz w:val="24"/>
        </w:rPr>
        <w:t>、除非有特殊要求，磋商文件不单独提供项目所在地的自然环境、气候条件、公用设施等情况，供应商被视为熟悉上述与履行合同有关的一切情况。</w:t>
      </w:r>
    </w:p>
    <w:p>
      <w:pPr>
        <w:pStyle w:val="20"/>
        <w:spacing w:line="360" w:lineRule="auto"/>
        <w:outlineLvl w:val="1"/>
        <w:rPr>
          <w:rFonts w:ascii="宋体" w:hAnsi="宋体"/>
          <w:sz w:val="24"/>
          <w:szCs w:val="24"/>
        </w:rPr>
      </w:pPr>
      <w:bookmarkStart w:id="29" w:name="_Toc92663929"/>
      <w:bookmarkStart w:id="30" w:name="_Toc165282392"/>
      <w:r>
        <w:rPr>
          <w:rFonts w:hint="eastAsia" w:ascii="宋体" w:hAnsi="宋体"/>
          <w:sz w:val="24"/>
          <w:szCs w:val="24"/>
        </w:rPr>
        <w:t>六、质疑</w:t>
      </w:r>
      <w:bookmarkEnd w:id="29"/>
      <w:bookmarkEnd w:id="30"/>
    </w:p>
    <w:p>
      <w:pPr>
        <w:snapToGrid w:val="0"/>
        <w:spacing w:line="360" w:lineRule="auto"/>
        <w:ind w:firstLine="482" w:firstLineChars="200"/>
        <w:rPr>
          <w:rFonts w:ascii="宋体" w:hAnsi="宋体" w:cs="楷体_GB2312"/>
          <w:b/>
          <w:sz w:val="24"/>
        </w:rPr>
      </w:pPr>
      <w:r>
        <w:rPr>
          <w:rFonts w:hint="eastAsia" w:ascii="宋体" w:hAnsi="宋体" w:cs="楷体_GB2312"/>
          <w:b/>
          <w:sz w:val="24"/>
        </w:rPr>
        <w:t>（十八）质疑</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1、供应商认为采购文件、采购过程、成交结果使自己的权益受到损害的，可以在知道或者应知其权益受到损害之日起7个工作日内，以书面形式向采购人、采购代理机构提出质疑。供应商应当在法定质疑期内一次性提出针对同一采购程序环节的质疑。</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 xml:space="preserve">2、供应商提出质疑应当提交质疑函和必要的证明材料。质疑函应当包括下列内容： </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 xml:space="preserve">　　（一）供应商的姓名或者名称、地址、邮编、联系人及联系电话； </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 xml:space="preserve">　　（二）质疑项目的名称、编号； </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 xml:space="preserve">　　（三）具体、明确的质疑事项和与质疑事项相关的请求； </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 xml:space="preserve">　　（四）事实依据； </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 xml:space="preserve">　　（五）必要的法律依据； </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 xml:space="preserve">　　（六）提出质疑的日期。 </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供应商为自然人的，应当由本人签字；供应商为法人或者其他组织的，应当由法定代表人、主要负责人，或者其授权代表签字或者盖章，并加盖公章。</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质疑函应按照财政部《政府采购供应商质疑函范本》格式和要求制作，网址：</w:t>
      </w:r>
      <w:r>
        <w:rPr>
          <w:rFonts w:ascii="宋体" w:hAnsi="宋体" w:cs="楷体_GB2312"/>
          <w:sz w:val="24"/>
        </w:rPr>
        <w:t>http://www.mof.gov.cn/gp/xxgkml/gks/201802/t20180201_2804587.html</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3、采购文件中采购需求部分（第四章以及供应商资格要求）由采购人负责制定。对该部分内容的质疑，由采购人接收并负责答复。其他内容的质疑，由代理机构接收并负责答复。</w:t>
      </w:r>
    </w:p>
    <w:p>
      <w:pPr>
        <w:tabs>
          <w:tab w:val="left" w:pos="2307"/>
        </w:tabs>
        <w:snapToGrid w:val="0"/>
        <w:spacing w:line="360" w:lineRule="auto"/>
        <w:ind w:firstLine="480" w:firstLineChars="200"/>
        <w:rPr>
          <w:rFonts w:ascii="宋体" w:hAnsi="宋体" w:cs="楷体_GB2312"/>
          <w:sz w:val="24"/>
        </w:rPr>
      </w:pPr>
      <w:r>
        <w:rPr>
          <w:rFonts w:hint="eastAsia" w:ascii="宋体" w:hAnsi="宋体" w:cs="楷体_GB2312"/>
          <w:sz w:val="24"/>
        </w:rPr>
        <w:t>4、接收质疑函的联系方式：详见采购公告</w:t>
      </w:r>
    </w:p>
    <w:p>
      <w:pPr>
        <w:tabs>
          <w:tab w:val="left" w:pos="2307"/>
        </w:tabs>
        <w:snapToGrid w:val="0"/>
        <w:spacing w:line="360" w:lineRule="auto"/>
        <w:ind w:firstLine="480" w:firstLineChars="200"/>
        <w:rPr>
          <w:rFonts w:ascii="宋体" w:hAnsi="宋体" w:cs="楷体_GB2312"/>
          <w:sz w:val="24"/>
        </w:rPr>
      </w:pPr>
      <w:r>
        <w:rPr>
          <w:rFonts w:ascii="宋体" w:hAnsi="宋体" w:cs="楷体_GB2312"/>
          <w:sz w:val="24"/>
        </w:rPr>
        <w:t>5</w:t>
      </w:r>
      <w:r>
        <w:rPr>
          <w:rFonts w:hint="eastAsia" w:ascii="宋体" w:hAnsi="宋体" w:cs="楷体_GB2312"/>
          <w:sz w:val="24"/>
        </w:rPr>
        <w:t>、未参加磋商活动的供应商或在磋商活动中自身权益未受到损害的供应商所提出的质疑不予受理。如有参加磋商的供应商提出有效质疑，并因此可能对成交结果产生影响，而最终被取消成交的，代理机构对成交供应商不承担任何责任。</w:t>
      </w:r>
    </w:p>
    <w:p>
      <w:pPr>
        <w:pStyle w:val="20"/>
        <w:spacing w:line="360" w:lineRule="auto"/>
        <w:outlineLvl w:val="1"/>
        <w:rPr>
          <w:rFonts w:ascii="宋体" w:hAnsi="宋体"/>
          <w:sz w:val="24"/>
          <w:szCs w:val="24"/>
        </w:rPr>
      </w:pPr>
      <w:bookmarkStart w:id="31" w:name="_Toc92663930"/>
      <w:bookmarkStart w:id="32" w:name="_Toc92549819"/>
      <w:bookmarkStart w:id="33" w:name="_Toc165282393"/>
      <w:r>
        <w:rPr>
          <w:rFonts w:hint="eastAsia" w:ascii="宋体" w:hAnsi="宋体"/>
          <w:sz w:val="24"/>
          <w:szCs w:val="24"/>
        </w:rPr>
        <w:t>七、</w:t>
      </w:r>
      <w:bookmarkEnd w:id="24"/>
      <w:bookmarkEnd w:id="31"/>
      <w:bookmarkEnd w:id="32"/>
      <w:r>
        <w:rPr>
          <w:rFonts w:hint="eastAsia" w:ascii="宋体" w:hAnsi="宋体"/>
          <w:sz w:val="24"/>
          <w:szCs w:val="24"/>
        </w:rPr>
        <w:t>采购</w:t>
      </w:r>
      <w:r>
        <w:rPr>
          <w:rFonts w:ascii="宋体" w:hAnsi="宋体"/>
          <w:sz w:val="24"/>
          <w:szCs w:val="24"/>
        </w:rPr>
        <w:t>代理服务费</w:t>
      </w:r>
      <w:bookmarkEnd w:id="33"/>
    </w:p>
    <w:p>
      <w:pPr>
        <w:spacing w:line="360" w:lineRule="auto"/>
        <w:ind w:firstLine="480" w:firstLineChars="200"/>
        <w:jc w:val="left"/>
        <w:rPr>
          <w:rFonts w:ascii="宋体" w:hAnsi="宋体"/>
          <w:bCs/>
          <w:sz w:val="24"/>
          <w:szCs w:val="22"/>
        </w:rPr>
      </w:pPr>
      <w:r>
        <w:rPr>
          <w:rFonts w:hint="eastAsia" w:ascii="宋体" w:hAnsi="宋体"/>
          <w:bCs/>
          <w:sz w:val="24"/>
          <w:szCs w:val="22"/>
        </w:rPr>
        <w:t>1、代理机构服务收费以中标（成交）金额为基数，收费比例按差额定率累进法计算：100万元以下1.5%，以上略。按上述标准*80%计算；如按上述方法计算的金额低于人民币3000元整，则服务费按人民币3000元整计取。</w:t>
      </w:r>
    </w:p>
    <w:p>
      <w:pPr>
        <w:spacing w:line="360" w:lineRule="auto"/>
        <w:ind w:firstLine="480" w:firstLineChars="200"/>
        <w:jc w:val="left"/>
        <w:rPr>
          <w:rFonts w:ascii="宋体" w:hAnsi="宋体"/>
          <w:bCs/>
          <w:sz w:val="24"/>
          <w:szCs w:val="22"/>
        </w:rPr>
      </w:pPr>
      <w:r>
        <w:rPr>
          <w:rFonts w:hint="eastAsia" w:ascii="宋体" w:hAnsi="宋体"/>
          <w:bCs/>
          <w:sz w:val="24"/>
          <w:szCs w:val="22"/>
        </w:rPr>
        <w:t>2、采购代理服务费按照上述标准收取并由成交供应商承担，成交供应商应在领取成交通知书时将代理机构服务费付至常州新禾招投标有限公司账户。</w:t>
      </w:r>
    </w:p>
    <w:p>
      <w:pPr>
        <w:widowControl/>
        <w:spacing w:line="360" w:lineRule="auto"/>
        <w:ind w:firstLine="708" w:firstLineChars="294"/>
        <w:jc w:val="left"/>
        <w:rPr>
          <w:rFonts w:ascii="宋体" w:hAnsi="宋体"/>
          <w:b/>
          <w:bCs/>
          <w:sz w:val="24"/>
          <w:szCs w:val="22"/>
        </w:rPr>
      </w:pPr>
      <w:r>
        <w:rPr>
          <w:rFonts w:hint="eastAsia" w:ascii="宋体" w:hAnsi="宋体"/>
          <w:b/>
          <w:bCs/>
          <w:sz w:val="24"/>
          <w:szCs w:val="22"/>
        </w:rPr>
        <w:t>账户名称：常州新禾招投标有限公司</w:t>
      </w:r>
    </w:p>
    <w:p>
      <w:pPr>
        <w:widowControl/>
        <w:spacing w:line="360" w:lineRule="auto"/>
        <w:ind w:firstLine="708" w:firstLineChars="294"/>
        <w:jc w:val="left"/>
        <w:rPr>
          <w:rFonts w:ascii="宋体" w:hAnsi="宋体"/>
          <w:b/>
          <w:bCs/>
          <w:sz w:val="24"/>
          <w:szCs w:val="22"/>
        </w:rPr>
      </w:pPr>
      <w:r>
        <w:rPr>
          <w:rFonts w:hint="eastAsia" w:ascii="宋体" w:hAnsi="宋体"/>
          <w:b/>
          <w:bCs/>
          <w:sz w:val="24"/>
          <w:szCs w:val="22"/>
        </w:rPr>
        <w:t>账户号码：</w:t>
      </w:r>
      <w:r>
        <w:rPr>
          <w:rFonts w:hint="eastAsia" w:ascii="宋体" w:hAnsi="宋体" w:cs="宋体"/>
          <w:b/>
          <w:bCs/>
          <w:sz w:val="24"/>
        </w:rPr>
        <w:t>32050162675900002247</w:t>
      </w:r>
    </w:p>
    <w:p>
      <w:pPr>
        <w:widowControl/>
        <w:spacing w:line="360" w:lineRule="auto"/>
        <w:ind w:firstLine="708" w:firstLineChars="294"/>
        <w:jc w:val="left"/>
        <w:rPr>
          <w:rFonts w:ascii="宋体" w:hAnsi="宋体"/>
          <w:b/>
          <w:bCs/>
          <w:sz w:val="24"/>
          <w:szCs w:val="22"/>
        </w:rPr>
      </w:pPr>
      <w:r>
        <w:rPr>
          <w:rFonts w:hint="eastAsia" w:ascii="宋体" w:hAnsi="宋体"/>
          <w:b/>
          <w:bCs/>
          <w:sz w:val="24"/>
          <w:szCs w:val="22"/>
        </w:rPr>
        <w:t>开户银行：</w:t>
      </w:r>
      <w:r>
        <w:rPr>
          <w:rFonts w:hint="eastAsia" w:hAnsi="宋体" w:cs="宋体"/>
          <w:b/>
          <w:bCs/>
          <w:sz w:val="24"/>
        </w:rPr>
        <w:t>中国建设银行股份有限公司常州丰乐支行</w:t>
      </w:r>
    </w:p>
    <w:p>
      <w:pPr>
        <w:widowControl/>
        <w:spacing w:line="360" w:lineRule="auto"/>
        <w:ind w:firstLine="420" w:firstLineChars="200"/>
        <w:jc w:val="left"/>
        <w:rPr>
          <w:rFonts w:ascii="宋体" w:hAnsi="宋体"/>
          <w:szCs w:val="21"/>
        </w:rPr>
      </w:pPr>
      <w:r>
        <w:rPr>
          <w:rFonts w:ascii="宋体" w:hAnsi="宋体"/>
          <w:szCs w:val="21"/>
        </w:rPr>
        <w:br w:type="page"/>
      </w:r>
    </w:p>
    <w:p>
      <w:pPr>
        <w:pStyle w:val="20"/>
        <w:spacing w:line="360" w:lineRule="auto"/>
        <w:rPr>
          <w:rFonts w:ascii="宋体" w:hAnsi="宋体"/>
          <w:sz w:val="28"/>
          <w:szCs w:val="28"/>
        </w:rPr>
      </w:pPr>
      <w:bookmarkStart w:id="34" w:name="_Toc19244"/>
      <w:bookmarkStart w:id="35" w:name="_Toc393194382"/>
      <w:bookmarkStart w:id="36" w:name="_Toc747"/>
      <w:bookmarkStart w:id="37" w:name="_Toc9316"/>
      <w:bookmarkStart w:id="38" w:name="_Toc329009664"/>
      <w:bookmarkStart w:id="39" w:name="_Toc165282394"/>
      <w:r>
        <w:rPr>
          <w:rFonts w:hint="eastAsia" w:ascii="宋体" w:hAnsi="宋体"/>
          <w:sz w:val="28"/>
          <w:szCs w:val="28"/>
        </w:rPr>
        <w:t>第四章 项目要求和有关说明</w:t>
      </w:r>
      <w:bookmarkEnd w:id="34"/>
      <w:bookmarkEnd w:id="35"/>
      <w:bookmarkEnd w:id="36"/>
      <w:bookmarkEnd w:id="37"/>
      <w:bookmarkEnd w:id="38"/>
      <w:bookmarkEnd w:id="39"/>
    </w:p>
    <w:bookmarkEnd w:id="4"/>
    <w:bookmarkEnd w:id="5"/>
    <w:bookmarkEnd w:id="6"/>
    <w:p>
      <w:pPr>
        <w:spacing w:line="360" w:lineRule="auto"/>
        <w:jc w:val="left"/>
        <w:rPr>
          <w:rFonts w:ascii="宋体" w:hAnsi="宋体" w:cs="宋体"/>
          <w:b/>
          <w:sz w:val="24"/>
        </w:rPr>
      </w:pPr>
      <w:bookmarkStart w:id="40" w:name="_Toc31405"/>
      <w:bookmarkStart w:id="41" w:name="_Toc288738330"/>
      <w:bookmarkStart w:id="42" w:name="_Toc288738798"/>
      <w:r>
        <w:rPr>
          <w:rFonts w:hint="eastAsia" w:ascii="宋体" w:hAnsi="宋体" w:cs="宋体"/>
          <w:b/>
          <w:sz w:val="24"/>
        </w:rPr>
        <w:t>一、项目概况</w:t>
      </w:r>
    </w:p>
    <w:p>
      <w:pPr>
        <w:spacing w:line="360" w:lineRule="auto"/>
        <w:ind w:firstLine="480"/>
        <w:jc w:val="left"/>
        <w:rPr>
          <w:rFonts w:ascii="宋体" w:hAnsi="宋体" w:cs="宋体"/>
          <w:sz w:val="24"/>
        </w:rPr>
      </w:pPr>
      <w:r>
        <w:rPr>
          <w:rFonts w:hint="eastAsia" w:ascii="宋体" w:hAnsi="宋体" w:cs="宋体"/>
          <w:sz w:val="24"/>
        </w:rPr>
        <w:t>本项目为常州市武进区嘉泽镇成章卫生院高清电子肠镜配套设备采购项目，具体内容包括：设备的制造（采购）、运输、装卸、安装、调试、测试、售后服务、技术培训等，直至通过采购单位及其他相关部门的验收以及质量保修、免费维保等全部工作。</w:t>
      </w:r>
    </w:p>
    <w:p>
      <w:pPr>
        <w:spacing w:line="360" w:lineRule="auto"/>
        <w:jc w:val="left"/>
        <w:rPr>
          <w:rFonts w:ascii="宋体" w:hAnsi="宋体" w:cs="宋体"/>
          <w:b/>
          <w:sz w:val="24"/>
        </w:rPr>
      </w:pPr>
      <w:r>
        <w:rPr>
          <w:rFonts w:hint="eastAsia" w:ascii="宋体" w:hAnsi="宋体" w:cs="宋体"/>
          <w:b/>
          <w:sz w:val="24"/>
        </w:rPr>
        <w:t>二、基本要求</w:t>
      </w:r>
    </w:p>
    <w:p>
      <w:pPr>
        <w:spacing w:line="360" w:lineRule="auto"/>
        <w:ind w:firstLine="480"/>
        <w:jc w:val="left"/>
        <w:rPr>
          <w:rFonts w:ascii="宋体" w:hAnsi="宋体" w:cs="宋体"/>
          <w:sz w:val="24"/>
        </w:rPr>
      </w:pPr>
      <w:r>
        <w:rPr>
          <w:rFonts w:hint="eastAsia" w:ascii="宋体" w:hAnsi="宋体" w:cs="宋体"/>
          <w:sz w:val="24"/>
        </w:rPr>
        <w:t>1.供应商应保证所供货物的安全性、可靠性、先进性、经济性和实用性，并为全新、未使用过的原装合格正品，完全符合磋商文件规定的质量、规格和性能的要求，达到中国最新版的法律、法规或行业规定的相关标准、规范的要求，符合项目所在地政府有关特殊要求，同时满足采购人使用要求，保证能通过采购人的质量验收、竣工验收等各类验收。</w:t>
      </w:r>
    </w:p>
    <w:p>
      <w:pPr>
        <w:spacing w:line="360" w:lineRule="auto"/>
        <w:ind w:firstLine="480"/>
        <w:jc w:val="left"/>
        <w:rPr>
          <w:rFonts w:ascii="宋体" w:hAnsi="宋体" w:cs="宋体"/>
          <w:sz w:val="24"/>
        </w:rPr>
      </w:pPr>
      <w:r>
        <w:rPr>
          <w:rFonts w:hint="eastAsia" w:ascii="宋体" w:hAnsi="宋体" w:cs="宋体"/>
          <w:sz w:val="24"/>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pPr>
        <w:spacing w:line="360" w:lineRule="auto"/>
        <w:jc w:val="left"/>
        <w:rPr>
          <w:rFonts w:ascii="宋体" w:hAnsi="宋体" w:cs="宋体"/>
          <w:bCs/>
          <w:sz w:val="24"/>
        </w:rPr>
      </w:pPr>
      <w:r>
        <w:rPr>
          <w:rFonts w:hint="eastAsia" w:ascii="宋体" w:hAnsi="宋体" w:cs="宋体"/>
          <w:b/>
          <w:sz w:val="24"/>
        </w:rPr>
        <w:t>三、采购清单</w:t>
      </w:r>
    </w:p>
    <w:tbl>
      <w:tblPr>
        <w:tblStyle w:val="22"/>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4640"/>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7" w:type="dxa"/>
            <w:vAlign w:val="center"/>
          </w:tcPr>
          <w:p>
            <w:pPr>
              <w:jc w:val="center"/>
              <w:rPr>
                <w:rFonts w:ascii="宋体" w:hAnsi="宋体" w:cs="宋体"/>
                <w:bCs/>
                <w:sz w:val="24"/>
              </w:rPr>
            </w:pPr>
            <w:r>
              <w:rPr>
                <w:rFonts w:hint="eastAsia" w:ascii="宋体" w:hAnsi="宋体" w:cs="宋体"/>
                <w:sz w:val="24"/>
              </w:rPr>
              <w:t>序号</w:t>
            </w:r>
          </w:p>
        </w:tc>
        <w:tc>
          <w:tcPr>
            <w:tcW w:w="4640" w:type="dxa"/>
            <w:vAlign w:val="center"/>
          </w:tcPr>
          <w:p>
            <w:pPr>
              <w:jc w:val="center"/>
              <w:rPr>
                <w:rFonts w:ascii="宋体" w:hAnsi="宋体" w:cs="宋体"/>
                <w:bCs/>
                <w:sz w:val="24"/>
              </w:rPr>
            </w:pPr>
            <w:r>
              <w:rPr>
                <w:rFonts w:hint="eastAsia" w:ascii="宋体" w:hAnsi="宋体" w:cs="宋体"/>
                <w:sz w:val="24"/>
              </w:rPr>
              <w:t>产品名称</w:t>
            </w:r>
          </w:p>
        </w:tc>
        <w:tc>
          <w:tcPr>
            <w:tcW w:w="2123" w:type="dxa"/>
            <w:vAlign w:val="center"/>
          </w:tcPr>
          <w:p>
            <w:pPr>
              <w:jc w:val="center"/>
              <w:rPr>
                <w:rFonts w:ascii="宋体" w:hAns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7" w:type="dxa"/>
            <w:vAlign w:val="center"/>
          </w:tcPr>
          <w:p>
            <w:pPr>
              <w:jc w:val="center"/>
              <w:rPr>
                <w:rFonts w:ascii="宋体" w:hAnsi="宋体" w:cs="宋体"/>
                <w:bCs/>
                <w:sz w:val="24"/>
              </w:rPr>
            </w:pPr>
            <w:r>
              <w:rPr>
                <w:rFonts w:hint="eastAsia" w:ascii="宋体" w:hAnsi="宋体" w:cs="宋体"/>
                <w:sz w:val="24"/>
              </w:rPr>
              <w:t>1</w:t>
            </w:r>
          </w:p>
        </w:tc>
        <w:tc>
          <w:tcPr>
            <w:tcW w:w="4640" w:type="dxa"/>
            <w:vAlign w:val="center"/>
          </w:tcPr>
          <w:p>
            <w:pPr>
              <w:jc w:val="center"/>
              <w:rPr>
                <w:rFonts w:ascii="宋体" w:hAnsi="宋体" w:cs="宋体"/>
                <w:bCs/>
                <w:sz w:val="24"/>
              </w:rPr>
            </w:pPr>
            <w:r>
              <w:rPr>
                <w:rFonts w:hint="eastAsia" w:ascii="宋体" w:hAnsi="宋体" w:cs="宋体"/>
                <w:sz w:val="24"/>
              </w:rPr>
              <w:t>麻醉机</w:t>
            </w:r>
          </w:p>
        </w:tc>
        <w:tc>
          <w:tcPr>
            <w:tcW w:w="2123" w:type="dxa"/>
            <w:vAlign w:val="center"/>
          </w:tcPr>
          <w:p>
            <w:pPr>
              <w:jc w:val="center"/>
              <w:rPr>
                <w:rFonts w:ascii="宋体" w:hAnsi="宋体" w:cs="宋体"/>
                <w:kern w:val="0"/>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7" w:type="dxa"/>
            <w:vAlign w:val="center"/>
          </w:tcPr>
          <w:p>
            <w:pPr>
              <w:jc w:val="center"/>
              <w:rPr>
                <w:rFonts w:ascii="宋体" w:hAnsi="宋体" w:cs="宋体"/>
                <w:bCs/>
                <w:sz w:val="24"/>
              </w:rPr>
            </w:pPr>
            <w:r>
              <w:rPr>
                <w:rFonts w:hint="eastAsia" w:ascii="宋体" w:hAnsi="宋体" w:cs="宋体"/>
                <w:sz w:val="24"/>
              </w:rPr>
              <w:t>2</w:t>
            </w:r>
          </w:p>
        </w:tc>
        <w:tc>
          <w:tcPr>
            <w:tcW w:w="4640" w:type="dxa"/>
            <w:vAlign w:val="center"/>
          </w:tcPr>
          <w:p>
            <w:pPr>
              <w:jc w:val="center"/>
              <w:rPr>
                <w:rFonts w:ascii="宋体" w:hAnsi="宋体" w:cs="宋体"/>
                <w:bCs/>
                <w:sz w:val="24"/>
              </w:rPr>
            </w:pPr>
            <w:r>
              <w:rPr>
                <w:rFonts w:hint="eastAsia" w:ascii="宋体" w:hAnsi="宋体" w:cs="宋体"/>
                <w:sz w:val="24"/>
              </w:rPr>
              <w:t>可视喉镜</w:t>
            </w:r>
          </w:p>
        </w:tc>
        <w:tc>
          <w:tcPr>
            <w:tcW w:w="2123" w:type="dxa"/>
            <w:vAlign w:val="center"/>
          </w:tcPr>
          <w:p>
            <w:pPr>
              <w:jc w:val="center"/>
              <w:rPr>
                <w:rFonts w:ascii="宋体" w:hAnsi="宋体" w:cs="宋体"/>
                <w:kern w:val="0"/>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7" w:type="dxa"/>
            <w:vAlign w:val="center"/>
          </w:tcPr>
          <w:p>
            <w:pPr>
              <w:jc w:val="center"/>
              <w:rPr>
                <w:rFonts w:ascii="宋体" w:hAnsi="宋体" w:cs="宋体"/>
                <w:bCs/>
                <w:sz w:val="24"/>
              </w:rPr>
            </w:pPr>
            <w:r>
              <w:rPr>
                <w:rFonts w:hint="eastAsia" w:ascii="宋体" w:hAnsi="宋体" w:cs="宋体"/>
                <w:sz w:val="24"/>
              </w:rPr>
              <w:t>3</w:t>
            </w:r>
          </w:p>
        </w:tc>
        <w:tc>
          <w:tcPr>
            <w:tcW w:w="4640" w:type="dxa"/>
            <w:vAlign w:val="center"/>
          </w:tcPr>
          <w:p>
            <w:pPr>
              <w:jc w:val="center"/>
              <w:rPr>
                <w:rFonts w:ascii="宋体" w:hAnsi="宋体" w:cs="宋体"/>
                <w:bCs/>
                <w:sz w:val="24"/>
              </w:rPr>
            </w:pPr>
            <w:r>
              <w:rPr>
                <w:rFonts w:hint="eastAsia" w:ascii="宋体" w:hAnsi="宋体" w:cs="宋体"/>
                <w:sz w:val="24"/>
              </w:rPr>
              <w:t>心电监护仪</w:t>
            </w:r>
          </w:p>
        </w:tc>
        <w:tc>
          <w:tcPr>
            <w:tcW w:w="2123" w:type="dxa"/>
            <w:vAlign w:val="center"/>
          </w:tcPr>
          <w:p>
            <w:pPr>
              <w:jc w:val="center"/>
              <w:rPr>
                <w:rFonts w:ascii="宋体" w:hAnsi="宋体" w:cs="宋体"/>
                <w:kern w:val="0"/>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7" w:type="dxa"/>
            <w:vAlign w:val="center"/>
          </w:tcPr>
          <w:p>
            <w:pPr>
              <w:jc w:val="center"/>
              <w:rPr>
                <w:rFonts w:ascii="宋体" w:hAnsi="宋体" w:cs="宋体"/>
                <w:bCs/>
                <w:sz w:val="24"/>
              </w:rPr>
            </w:pPr>
            <w:r>
              <w:rPr>
                <w:rFonts w:hint="eastAsia" w:ascii="宋体" w:hAnsi="宋体" w:cs="宋体"/>
                <w:sz w:val="24"/>
              </w:rPr>
              <w:t>4</w:t>
            </w:r>
          </w:p>
        </w:tc>
        <w:tc>
          <w:tcPr>
            <w:tcW w:w="4640" w:type="dxa"/>
            <w:vAlign w:val="center"/>
          </w:tcPr>
          <w:p>
            <w:pPr>
              <w:jc w:val="center"/>
              <w:rPr>
                <w:rFonts w:ascii="宋体" w:hAnsi="宋体" w:cs="宋体"/>
                <w:bCs/>
                <w:sz w:val="24"/>
              </w:rPr>
            </w:pPr>
            <w:r>
              <w:rPr>
                <w:rFonts w:hint="eastAsia" w:ascii="宋体" w:hAnsi="宋体" w:cs="宋体"/>
                <w:sz w:val="24"/>
              </w:rPr>
              <w:t>氩气刀</w:t>
            </w:r>
          </w:p>
        </w:tc>
        <w:tc>
          <w:tcPr>
            <w:tcW w:w="2123" w:type="dxa"/>
            <w:vAlign w:val="center"/>
          </w:tcPr>
          <w:p>
            <w:pPr>
              <w:jc w:val="center"/>
              <w:rPr>
                <w:rFonts w:ascii="宋体" w:hAnsi="宋体" w:cs="宋体"/>
                <w:kern w:val="0"/>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7" w:type="dxa"/>
            <w:vAlign w:val="center"/>
          </w:tcPr>
          <w:p>
            <w:pPr>
              <w:jc w:val="center"/>
              <w:rPr>
                <w:rFonts w:ascii="宋体" w:hAnsi="宋体" w:cs="宋体"/>
                <w:bCs/>
                <w:sz w:val="24"/>
              </w:rPr>
            </w:pPr>
            <w:r>
              <w:rPr>
                <w:rFonts w:hint="eastAsia" w:ascii="宋体" w:hAnsi="宋体" w:cs="宋体"/>
                <w:sz w:val="24"/>
              </w:rPr>
              <w:t>5</w:t>
            </w:r>
          </w:p>
        </w:tc>
        <w:tc>
          <w:tcPr>
            <w:tcW w:w="4640" w:type="dxa"/>
            <w:vAlign w:val="center"/>
          </w:tcPr>
          <w:p>
            <w:pPr>
              <w:jc w:val="center"/>
              <w:rPr>
                <w:rFonts w:ascii="宋体" w:hAnsi="宋体" w:cs="宋体"/>
                <w:bCs/>
                <w:sz w:val="24"/>
              </w:rPr>
            </w:pPr>
            <w:r>
              <w:rPr>
                <w:rFonts w:hint="eastAsia" w:ascii="宋体" w:hAnsi="宋体" w:cs="宋体"/>
                <w:sz w:val="24"/>
              </w:rPr>
              <w:t>清洗工作站</w:t>
            </w:r>
          </w:p>
        </w:tc>
        <w:tc>
          <w:tcPr>
            <w:tcW w:w="2123" w:type="dxa"/>
            <w:vAlign w:val="center"/>
          </w:tcPr>
          <w:p>
            <w:pPr>
              <w:jc w:val="center"/>
              <w:rPr>
                <w:rFonts w:ascii="宋体" w:hAnsi="宋体" w:cs="宋体"/>
                <w:kern w:val="0"/>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7" w:type="dxa"/>
            <w:vAlign w:val="center"/>
          </w:tcPr>
          <w:p>
            <w:pPr>
              <w:jc w:val="center"/>
              <w:rPr>
                <w:rFonts w:ascii="宋体" w:hAnsi="宋体" w:cs="宋体"/>
                <w:bCs/>
                <w:sz w:val="24"/>
              </w:rPr>
            </w:pPr>
            <w:r>
              <w:rPr>
                <w:rFonts w:hint="eastAsia" w:ascii="宋体" w:hAnsi="宋体" w:cs="宋体"/>
                <w:sz w:val="24"/>
              </w:rPr>
              <w:t>6</w:t>
            </w:r>
          </w:p>
        </w:tc>
        <w:tc>
          <w:tcPr>
            <w:tcW w:w="4640" w:type="dxa"/>
            <w:vAlign w:val="center"/>
          </w:tcPr>
          <w:p>
            <w:pPr>
              <w:jc w:val="center"/>
              <w:rPr>
                <w:rFonts w:ascii="宋体" w:hAnsi="宋体" w:cs="宋体"/>
                <w:bCs/>
                <w:sz w:val="24"/>
              </w:rPr>
            </w:pPr>
            <w:r>
              <w:rPr>
                <w:rFonts w:hint="eastAsia" w:ascii="宋体" w:hAnsi="宋体" w:cs="宋体"/>
                <w:sz w:val="24"/>
              </w:rPr>
              <w:t>储镜柜</w:t>
            </w:r>
          </w:p>
        </w:tc>
        <w:tc>
          <w:tcPr>
            <w:tcW w:w="2123" w:type="dxa"/>
            <w:vAlign w:val="center"/>
          </w:tcPr>
          <w:p>
            <w:pPr>
              <w:jc w:val="center"/>
              <w:rPr>
                <w:rFonts w:ascii="宋体" w:hAnsi="宋体" w:cs="宋体"/>
                <w:kern w:val="0"/>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7" w:type="dxa"/>
            <w:vAlign w:val="center"/>
          </w:tcPr>
          <w:p>
            <w:pPr>
              <w:jc w:val="center"/>
              <w:rPr>
                <w:rFonts w:ascii="宋体" w:hAnsi="宋体" w:cs="宋体"/>
                <w:bCs/>
                <w:sz w:val="24"/>
              </w:rPr>
            </w:pPr>
            <w:r>
              <w:rPr>
                <w:rFonts w:hint="eastAsia" w:ascii="宋体" w:hAnsi="宋体" w:cs="宋体"/>
                <w:sz w:val="24"/>
              </w:rPr>
              <w:t>7</w:t>
            </w:r>
          </w:p>
        </w:tc>
        <w:tc>
          <w:tcPr>
            <w:tcW w:w="4640" w:type="dxa"/>
            <w:vAlign w:val="center"/>
          </w:tcPr>
          <w:p>
            <w:pPr>
              <w:jc w:val="center"/>
              <w:rPr>
                <w:rFonts w:ascii="宋体" w:hAnsi="宋体" w:cs="宋体"/>
                <w:bCs/>
                <w:sz w:val="24"/>
              </w:rPr>
            </w:pPr>
            <w:r>
              <w:rPr>
                <w:rFonts w:hint="eastAsia" w:ascii="宋体" w:hAnsi="宋体" w:cs="宋体"/>
                <w:sz w:val="24"/>
              </w:rPr>
              <w:t>胃肠镜转运车</w:t>
            </w:r>
          </w:p>
        </w:tc>
        <w:tc>
          <w:tcPr>
            <w:tcW w:w="2123" w:type="dxa"/>
            <w:vAlign w:val="center"/>
          </w:tcPr>
          <w:p>
            <w:pPr>
              <w:jc w:val="center"/>
              <w:rPr>
                <w:rFonts w:ascii="宋体" w:hAnsi="宋体" w:cs="宋体"/>
                <w:kern w:val="0"/>
                <w:sz w:val="24"/>
              </w:rPr>
            </w:pPr>
            <w:r>
              <w:rPr>
                <w:rFonts w:hint="eastAsia" w:ascii="宋体" w:hAnsi="宋体" w:cs="宋体"/>
                <w:sz w:val="24"/>
              </w:rPr>
              <w:t>2</w:t>
            </w:r>
          </w:p>
        </w:tc>
      </w:tr>
    </w:tbl>
    <w:p>
      <w:pPr>
        <w:pStyle w:val="28"/>
        <w:adjustRightInd w:val="0"/>
        <w:snapToGrid w:val="0"/>
        <w:spacing w:line="360" w:lineRule="auto"/>
        <w:ind w:firstLine="0" w:firstLineChars="0"/>
        <w:contextualSpacing/>
        <w:rPr>
          <w:rFonts w:ascii="宋体" w:hAnsi="宋体" w:cs="宋体"/>
          <w:b/>
          <w:sz w:val="24"/>
          <w:szCs w:val="24"/>
        </w:rPr>
      </w:pPr>
    </w:p>
    <w:p>
      <w:pPr>
        <w:pStyle w:val="28"/>
        <w:adjustRightInd w:val="0"/>
        <w:snapToGrid w:val="0"/>
        <w:spacing w:line="360" w:lineRule="auto"/>
        <w:ind w:firstLine="241" w:firstLineChars="100"/>
        <w:contextualSpacing/>
        <w:rPr>
          <w:rFonts w:ascii="宋体" w:hAnsi="宋体" w:cs="宋体"/>
          <w:b/>
          <w:sz w:val="24"/>
          <w:szCs w:val="24"/>
        </w:rPr>
      </w:pPr>
      <w:r>
        <w:rPr>
          <w:rFonts w:hint="eastAsia" w:ascii="宋体" w:hAnsi="宋体" w:cs="宋体"/>
          <w:b/>
          <w:sz w:val="24"/>
          <w:szCs w:val="24"/>
        </w:rPr>
        <w:t>四、商务要求</w:t>
      </w:r>
    </w:p>
    <w:p>
      <w:pPr>
        <w:spacing w:line="360" w:lineRule="auto"/>
        <w:ind w:firstLine="482" w:firstLineChars="200"/>
        <w:contextualSpacing/>
        <w:rPr>
          <w:rFonts w:ascii="宋体" w:hAnsi="宋体" w:cs="宋体"/>
          <w:b/>
          <w:sz w:val="24"/>
        </w:rPr>
      </w:pPr>
      <w:r>
        <w:rPr>
          <w:rFonts w:hint="eastAsia" w:ascii="宋体" w:hAnsi="宋体" w:cs="宋体"/>
          <w:b/>
          <w:sz w:val="24"/>
        </w:rPr>
        <w:t>1.交付的时间和地点</w:t>
      </w:r>
    </w:p>
    <w:p>
      <w:pPr>
        <w:spacing w:line="360" w:lineRule="auto"/>
        <w:ind w:firstLine="480" w:firstLineChars="200"/>
        <w:contextualSpacing/>
        <w:rPr>
          <w:rFonts w:ascii="宋体" w:hAnsi="宋体" w:cs="宋体"/>
          <w:bCs/>
          <w:sz w:val="24"/>
        </w:rPr>
      </w:pPr>
      <w:r>
        <w:rPr>
          <w:rFonts w:hint="eastAsia" w:ascii="宋体" w:hAnsi="宋体" w:cs="宋体"/>
          <w:bCs/>
          <w:sz w:val="24"/>
        </w:rPr>
        <w:t>（1）交货期：自合同签订之日起20个工作日内交货并安装调试完毕。</w:t>
      </w:r>
    </w:p>
    <w:p>
      <w:pPr>
        <w:spacing w:line="360" w:lineRule="auto"/>
        <w:ind w:firstLine="480" w:firstLineChars="200"/>
        <w:contextualSpacing/>
        <w:rPr>
          <w:rFonts w:ascii="宋体" w:hAnsi="宋体" w:cs="宋体"/>
          <w:bCs/>
          <w:sz w:val="24"/>
        </w:rPr>
      </w:pPr>
      <w:r>
        <w:rPr>
          <w:rFonts w:hint="eastAsia" w:ascii="宋体" w:hAnsi="宋体" w:cs="宋体"/>
          <w:bCs/>
          <w:sz w:val="24"/>
        </w:rPr>
        <w:t>（2）交货地点：招标人指定地点。货物现场交付，招标人检验无误，签署收货通知单后，货物所有权转移给招标人。</w:t>
      </w:r>
    </w:p>
    <w:p>
      <w:pPr>
        <w:spacing w:line="360" w:lineRule="auto"/>
        <w:ind w:firstLine="482" w:firstLineChars="200"/>
        <w:contextualSpacing/>
        <w:rPr>
          <w:rFonts w:ascii="宋体" w:hAnsi="宋体" w:cs="宋体"/>
          <w:b/>
          <w:sz w:val="24"/>
        </w:rPr>
      </w:pPr>
      <w:r>
        <w:rPr>
          <w:rFonts w:hint="eastAsia" w:ascii="宋体" w:hAnsi="宋体" w:cs="宋体"/>
          <w:b/>
          <w:sz w:val="24"/>
        </w:rPr>
        <w:t>2.付款条件</w:t>
      </w:r>
    </w:p>
    <w:p>
      <w:pPr>
        <w:adjustRightInd w:val="0"/>
        <w:snapToGrid w:val="0"/>
        <w:spacing w:line="360" w:lineRule="auto"/>
        <w:ind w:firstLine="480" w:firstLineChars="200"/>
        <w:contextualSpacing/>
        <w:rPr>
          <w:rFonts w:ascii="宋体" w:hAnsi="宋体" w:cs="宋体"/>
          <w:bCs/>
          <w:sz w:val="24"/>
        </w:rPr>
      </w:pPr>
      <w:r>
        <w:rPr>
          <w:rFonts w:hint="eastAsia" w:ascii="宋体" w:hAnsi="宋体" w:cs="宋体"/>
          <w:bCs/>
          <w:sz w:val="24"/>
        </w:rPr>
        <w:t>本项目</w:t>
      </w:r>
      <w:r>
        <w:rPr>
          <w:rFonts w:hint="eastAsia" w:ascii="宋体" w:hAnsi="宋体" w:cs="宋体"/>
          <w:color w:val="262626"/>
          <w:sz w:val="24"/>
        </w:rPr>
        <w:t>无预付款，经采购人</w:t>
      </w:r>
      <w:r>
        <w:rPr>
          <w:rFonts w:hint="eastAsia" w:ascii="宋体" w:hAnsi="宋体" w:cs="宋体"/>
          <w:sz w:val="24"/>
        </w:rPr>
        <w:t>验收合格后支付合同</w:t>
      </w:r>
      <w:r>
        <w:rPr>
          <w:rFonts w:hint="eastAsia" w:ascii="宋体" w:hAnsi="宋体" w:cs="宋体"/>
          <w:color w:val="262626"/>
          <w:sz w:val="24"/>
        </w:rPr>
        <w:t>总价的95%，余款免费维保期满后付清。</w:t>
      </w:r>
    </w:p>
    <w:p>
      <w:pPr>
        <w:pStyle w:val="56"/>
        <w:snapToGrid w:val="0"/>
        <w:spacing w:line="360" w:lineRule="auto"/>
        <w:rPr>
          <w:rFonts w:hAnsi="宋体"/>
          <w:b/>
          <w:bCs/>
          <w:color w:val="auto"/>
        </w:rPr>
      </w:pPr>
      <w:r>
        <w:rPr>
          <w:rFonts w:hint="eastAsia" w:hAnsi="宋体"/>
          <w:b/>
          <w:bCs/>
          <w:color w:val="auto"/>
        </w:rPr>
        <w:t>五、技术参数要求</w:t>
      </w:r>
    </w:p>
    <w:p>
      <w:pPr>
        <w:pStyle w:val="76"/>
        <w:numPr>
          <w:ilvl w:val="1"/>
          <w:numId w:val="0"/>
        </w:numPr>
        <w:tabs>
          <w:tab w:val="left" w:pos="1440"/>
        </w:tabs>
        <w:spacing w:before="156" w:after="156"/>
        <w:rPr>
          <w:rFonts w:cs="宋体"/>
        </w:rPr>
      </w:pPr>
      <w:r>
        <w:rPr>
          <w:rFonts w:hint="eastAsia" w:cs="宋体"/>
        </w:rPr>
        <w:t>1、麻醉机，一套</w:t>
      </w:r>
    </w:p>
    <w:p>
      <w:pPr>
        <w:pStyle w:val="76"/>
        <w:numPr>
          <w:ilvl w:val="1"/>
          <w:numId w:val="0"/>
        </w:numPr>
        <w:tabs>
          <w:tab w:val="left" w:pos="1440"/>
        </w:tabs>
        <w:spacing w:before="156" w:after="156"/>
        <w:rPr>
          <w:rFonts w:cs="宋体"/>
          <w:b w:val="0"/>
          <w:bCs/>
        </w:rPr>
      </w:pPr>
      <w:r>
        <w:rPr>
          <w:rFonts w:hint="eastAsia" w:cs="宋体"/>
          <w:b w:val="0"/>
          <w:bCs/>
        </w:rPr>
        <w:t xml:space="preserve">基本信息：1.呼吸模式：VCV、PCV、SIMV-V 、SIGH </w:t>
      </w:r>
    </w:p>
    <w:p>
      <w:pPr>
        <w:pStyle w:val="76"/>
        <w:numPr>
          <w:ilvl w:val="1"/>
          <w:numId w:val="0"/>
        </w:numPr>
        <w:tabs>
          <w:tab w:val="left" w:pos="1440"/>
        </w:tabs>
        <w:spacing w:before="156" w:after="156"/>
        <w:ind w:firstLine="1200" w:firstLineChars="500"/>
        <w:rPr>
          <w:rFonts w:cs="宋体"/>
          <w:b w:val="0"/>
          <w:bCs/>
        </w:rPr>
      </w:pPr>
      <w:r>
        <w:rPr>
          <w:rFonts w:hint="eastAsia" w:cs="宋体"/>
          <w:b w:val="0"/>
          <w:bCs/>
        </w:rPr>
        <w:t xml:space="preserve">2.显示屏：8.4触摸液晶屏 </w:t>
      </w:r>
    </w:p>
    <w:p>
      <w:pPr>
        <w:pStyle w:val="76"/>
        <w:numPr>
          <w:ilvl w:val="1"/>
          <w:numId w:val="0"/>
        </w:numPr>
        <w:tabs>
          <w:tab w:val="left" w:pos="1440"/>
        </w:tabs>
        <w:spacing w:before="156" w:after="156"/>
        <w:ind w:firstLine="1200" w:firstLineChars="500"/>
        <w:rPr>
          <w:rFonts w:cs="宋体"/>
        </w:rPr>
      </w:pPr>
      <w:r>
        <w:rPr>
          <w:rFonts w:hint="eastAsia" w:cs="宋体"/>
          <w:b w:val="0"/>
          <w:bCs/>
        </w:rPr>
        <w:t>3.流量计：六管流量计氧气0-10LPM 笑气0-12LPM 空气0-15LPM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4776"/>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95"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序号</w:t>
            </w:r>
          </w:p>
        </w:tc>
        <w:tc>
          <w:tcPr>
            <w:tcW w:w="4776"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物料名称</w:t>
            </w:r>
          </w:p>
        </w:tc>
        <w:tc>
          <w:tcPr>
            <w:tcW w:w="2617"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5"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1</w:t>
            </w: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麻醉机</w:t>
            </w:r>
          </w:p>
        </w:tc>
        <w:tc>
          <w:tcPr>
            <w:tcW w:w="2617"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5"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2</w:t>
            </w: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一次性成人呼吸管路套件</w:t>
            </w:r>
          </w:p>
        </w:tc>
        <w:tc>
          <w:tcPr>
            <w:tcW w:w="2617"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5"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3</w:t>
            </w: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麻醉机中文说明书</w:t>
            </w:r>
          </w:p>
        </w:tc>
        <w:tc>
          <w:tcPr>
            <w:tcW w:w="2617"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5"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4</w:t>
            </w: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氧气管组件5m（国标）</w:t>
            </w:r>
          </w:p>
        </w:tc>
        <w:tc>
          <w:tcPr>
            <w:tcW w:w="2617"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5"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5</w:t>
            </w: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小儿软件包（10ml潮气量）</w:t>
            </w:r>
          </w:p>
        </w:tc>
        <w:tc>
          <w:tcPr>
            <w:tcW w:w="2617"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5"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6</w:t>
            </w: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氧气输出终端组件</w:t>
            </w:r>
          </w:p>
        </w:tc>
        <w:tc>
          <w:tcPr>
            <w:tcW w:w="2617"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5"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7</w:t>
            </w: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氧气吸入器带湿化瓶</w:t>
            </w:r>
          </w:p>
        </w:tc>
        <w:tc>
          <w:tcPr>
            <w:tcW w:w="2617"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95" w:type="dxa"/>
            <w:vMerge w:val="restart"/>
            <w:vAlign w:val="center"/>
          </w:tcPr>
          <w:p>
            <w:pPr>
              <w:pStyle w:val="76"/>
              <w:numPr>
                <w:ilvl w:val="1"/>
                <w:numId w:val="0"/>
              </w:numPr>
              <w:tabs>
                <w:tab w:val="left" w:pos="1440"/>
              </w:tabs>
              <w:spacing w:before="156" w:after="156"/>
              <w:jc w:val="center"/>
              <w:rPr>
                <w:rFonts w:cs="宋体"/>
                <w:b w:val="0"/>
                <w:bCs/>
              </w:rPr>
            </w:pPr>
            <w:r>
              <w:rPr>
                <w:rFonts w:hint="eastAsia" w:cs="宋体"/>
                <w:b w:val="0"/>
                <w:bCs/>
              </w:rPr>
              <w:t>8</w:t>
            </w: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螺纹式德标集中供氧接头</w:t>
            </w:r>
          </w:p>
        </w:tc>
        <w:tc>
          <w:tcPr>
            <w:tcW w:w="2617" w:type="dxa"/>
            <w:vMerge w:val="restart"/>
            <w:vAlign w:val="center"/>
          </w:tcPr>
          <w:p>
            <w:pPr>
              <w:widowControl/>
              <w:jc w:val="center"/>
              <w:rPr>
                <w:rFonts w:ascii="宋体" w:hAnsi="宋体" w:cs="宋体"/>
                <w:bCs/>
                <w:sz w:val="24"/>
              </w:rPr>
            </w:pPr>
            <w:r>
              <w:rPr>
                <w:rFonts w:hint="eastAsia" w:ascii="宋体" w:hAnsi="宋体" w:cs="宋体"/>
                <w:color w:val="000000"/>
                <w:kern w:val="0"/>
                <w:sz w:val="24"/>
                <w:lang w:bidi="ar"/>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95" w:type="dxa"/>
            <w:vMerge w:val="continue"/>
            <w:vAlign w:val="center"/>
          </w:tcPr>
          <w:p>
            <w:pPr>
              <w:pStyle w:val="76"/>
              <w:numPr>
                <w:ilvl w:val="1"/>
                <w:numId w:val="0"/>
              </w:numPr>
              <w:tabs>
                <w:tab w:val="left" w:pos="1440"/>
              </w:tabs>
              <w:spacing w:before="156" w:after="156"/>
              <w:jc w:val="center"/>
              <w:rPr>
                <w:rFonts w:cs="宋体"/>
                <w:b w:val="0"/>
                <w:bCs/>
              </w:rPr>
            </w:pP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国标集中供氧接头</w:t>
            </w:r>
          </w:p>
        </w:tc>
        <w:tc>
          <w:tcPr>
            <w:tcW w:w="2617" w:type="dxa"/>
            <w:vMerge w:val="continue"/>
            <w:vAlign w:val="center"/>
          </w:tcPr>
          <w:p>
            <w:pPr>
              <w:pStyle w:val="76"/>
              <w:numPr>
                <w:ilvl w:val="1"/>
                <w:numId w:val="0"/>
              </w:numPr>
              <w:tabs>
                <w:tab w:val="left" w:pos="1440"/>
              </w:tabs>
              <w:spacing w:before="156" w:after="156"/>
              <w:jc w:val="center"/>
              <w:rPr>
                <w:rFonts w:cs="宋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895" w:type="dxa"/>
            <w:vMerge w:val="restart"/>
            <w:vAlign w:val="center"/>
          </w:tcPr>
          <w:p>
            <w:pPr>
              <w:pStyle w:val="76"/>
              <w:numPr>
                <w:ilvl w:val="1"/>
                <w:numId w:val="0"/>
              </w:numPr>
              <w:tabs>
                <w:tab w:val="left" w:pos="1440"/>
              </w:tabs>
              <w:spacing w:before="156" w:after="156"/>
              <w:jc w:val="center"/>
              <w:rPr>
                <w:rFonts w:cs="宋体"/>
                <w:b w:val="0"/>
                <w:bCs/>
              </w:rPr>
            </w:pPr>
            <w:r>
              <w:rPr>
                <w:rFonts w:hint="eastAsia" w:cs="宋体"/>
                <w:b w:val="0"/>
                <w:bCs/>
              </w:rPr>
              <w:t>9</w:t>
            </w: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VP20异氟醚麻醉蒸发器</w:t>
            </w:r>
          </w:p>
        </w:tc>
        <w:tc>
          <w:tcPr>
            <w:tcW w:w="2617" w:type="dxa"/>
            <w:vMerge w:val="restart"/>
            <w:vAlign w:val="center"/>
          </w:tcPr>
          <w:p>
            <w:pPr>
              <w:widowControl/>
              <w:jc w:val="center"/>
              <w:rPr>
                <w:rFonts w:ascii="宋体" w:hAnsi="宋体" w:cs="宋体"/>
                <w:bCs/>
                <w:sz w:val="24"/>
              </w:rPr>
            </w:pPr>
            <w:r>
              <w:rPr>
                <w:rFonts w:hint="eastAsia" w:ascii="宋体" w:hAnsi="宋体" w:cs="宋体"/>
                <w:color w:val="000000"/>
                <w:kern w:val="0"/>
                <w:sz w:val="24"/>
                <w:lang w:bidi="ar"/>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95" w:type="dxa"/>
            <w:vMerge w:val="continue"/>
            <w:vAlign w:val="center"/>
          </w:tcPr>
          <w:p>
            <w:pPr>
              <w:pStyle w:val="76"/>
              <w:numPr>
                <w:ilvl w:val="1"/>
                <w:numId w:val="0"/>
              </w:numPr>
              <w:tabs>
                <w:tab w:val="left" w:pos="1440"/>
              </w:tabs>
              <w:spacing w:before="156" w:after="156"/>
              <w:jc w:val="center"/>
              <w:rPr>
                <w:rFonts w:cs="宋体"/>
                <w:b w:val="0"/>
                <w:bCs/>
              </w:rPr>
            </w:pP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VP10七氟醚麻醉蒸发器</w:t>
            </w:r>
          </w:p>
        </w:tc>
        <w:tc>
          <w:tcPr>
            <w:tcW w:w="2617" w:type="dxa"/>
            <w:vMerge w:val="continue"/>
            <w:vAlign w:val="center"/>
          </w:tcPr>
          <w:p>
            <w:pPr>
              <w:pStyle w:val="76"/>
              <w:numPr>
                <w:ilvl w:val="1"/>
                <w:numId w:val="0"/>
              </w:numPr>
              <w:tabs>
                <w:tab w:val="left" w:pos="1440"/>
              </w:tabs>
              <w:spacing w:before="156" w:after="156"/>
              <w:jc w:val="center"/>
              <w:rPr>
                <w:rFonts w:cs="宋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5"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10</w:t>
            </w:r>
          </w:p>
        </w:tc>
        <w:tc>
          <w:tcPr>
            <w:tcW w:w="4776" w:type="dxa"/>
            <w:vAlign w:val="center"/>
          </w:tcPr>
          <w:p>
            <w:pPr>
              <w:widowControl/>
              <w:jc w:val="center"/>
              <w:rPr>
                <w:rFonts w:ascii="宋体" w:hAnsi="宋体" w:cs="宋体"/>
                <w:bCs/>
                <w:sz w:val="24"/>
              </w:rPr>
            </w:pPr>
            <w:r>
              <w:rPr>
                <w:rFonts w:hint="eastAsia" w:ascii="宋体" w:hAnsi="宋体" w:cs="宋体"/>
                <w:color w:val="000000"/>
                <w:kern w:val="0"/>
                <w:sz w:val="24"/>
                <w:lang w:bidi="ar"/>
              </w:rPr>
              <w:t>氧气双表减压器</w:t>
            </w:r>
          </w:p>
        </w:tc>
        <w:tc>
          <w:tcPr>
            <w:tcW w:w="2617" w:type="dxa"/>
            <w:vAlign w:val="center"/>
          </w:tcPr>
          <w:p>
            <w:pPr>
              <w:pStyle w:val="76"/>
              <w:numPr>
                <w:ilvl w:val="1"/>
                <w:numId w:val="0"/>
              </w:numPr>
              <w:tabs>
                <w:tab w:val="left" w:pos="1440"/>
              </w:tabs>
              <w:spacing w:before="156" w:after="156"/>
              <w:jc w:val="center"/>
              <w:rPr>
                <w:rFonts w:cs="宋体"/>
                <w:b w:val="0"/>
                <w:bCs/>
              </w:rPr>
            </w:pPr>
            <w:r>
              <w:rPr>
                <w:rFonts w:hint="eastAsia" w:cs="宋体"/>
                <w:b w:val="0"/>
                <w:bCs/>
              </w:rPr>
              <w:t>1</w:t>
            </w:r>
          </w:p>
        </w:tc>
      </w:tr>
    </w:tbl>
    <w:p>
      <w:pPr>
        <w:pStyle w:val="76"/>
        <w:numPr>
          <w:ilvl w:val="1"/>
          <w:numId w:val="0"/>
        </w:numPr>
        <w:tabs>
          <w:tab w:val="left" w:pos="1440"/>
        </w:tabs>
        <w:spacing w:before="156" w:after="156" w:line="360" w:lineRule="auto"/>
        <w:rPr>
          <w:rFonts w:cs="宋体"/>
          <w:b w:val="0"/>
          <w:bCs/>
        </w:rPr>
      </w:pPr>
      <w:r>
        <w:rPr>
          <w:rFonts w:hint="eastAsia" w:cs="宋体"/>
          <w:b w:val="0"/>
          <w:bCs/>
        </w:rPr>
        <w:t>1、基本要求</w:t>
      </w:r>
    </w:p>
    <w:p>
      <w:pPr>
        <w:pStyle w:val="76"/>
        <w:numPr>
          <w:ilvl w:val="1"/>
          <w:numId w:val="0"/>
        </w:numPr>
        <w:tabs>
          <w:tab w:val="left" w:pos="1440"/>
        </w:tabs>
        <w:spacing w:before="156" w:after="156" w:line="360" w:lineRule="auto"/>
        <w:rPr>
          <w:rFonts w:cs="宋体"/>
          <w:b w:val="0"/>
          <w:bCs/>
        </w:rPr>
      </w:pPr>
      <w:r>
        <w:rPr>
          <w:rFonts w:hint="eastAsia" w:cs="宋体"/>
          <w:b w:val="0"/>
          <w:bCs/>
        </w:rPr>
        <w:t>1.1、麻醉呼吸机≥8.4 英寸彩色 LCD 带触摸屏,屏机一体；</w:t>
      </w:r>
    </w:p>
    <w:p>
      <w:pPr>
        <w:pStyle w:val="76"/>
        <w:numPr>
          <w:ilvl w:val="1"/>
          <w:numId w:val="0"/>
        </w:numPr>
        <w:tabs>
          <w:tab w:val="left" w:pos="1440"/>
        </w:tabs>
        <w:spacing w:before="156" w:after="156" w:line="360" w:lineRule="auto"/>
        <w:rPr>
          <w:rFonts w:cs="宋体"/>
          <w:b w:val="0"/>
          <w:bCs/>
        </w:rPr>
      </w:pPr>
      <w:r>
        <w:rPr>
          <w:rFonts w:hint="eastAsia" w:cs="宋体"/>
          <w:b w:val="0"/>
          <w:bCs/>
        </w:rPr>
        <w:t>1.2、高亮度 LED顶光照明灯，方便写麻醉病历，适用于各类腔镜手术；</w:t>
      </w:r>
    </w:p>
    <w:p>
      <w:pPr>
        <w:pStyle w:val="76"/>
        <w:numPr>
          <w:ilvl w:val="1"/>
          <w:numId w:val="0"/>
        </w:numPr>
        <w:tabs>
          <w:tab w:val="left" w:pos="1440"/>
        </w:tabs>
        <w:spacing w:before="156" w:after="156" w:line="360" w:lineRule="auto"/>
        <w:rPr>
          <w:rFonts w:cs="宋体"/>
          <w:b w:val="0"/>
          <w:bCs/>
        </w:rPr>
      </w:pPr>
      <w:r>
        <w:rPr>
          <w:rFonts w:hint="eastAsia" w:cs="宋体"/>
          <w:b w:val="0"/>
          <w:bCs/>
        </w:rPr>
        <w:t>1.3、有声、光报警提示，能显示报警故障内容，支持多级音量功能；</w:t>
      </w:r>
    </w:p>
    <w:p>
      <w:pPr>
        <w:pStyle w:val="76"/>
        <w:numPr>
          <w:ilvl w:val="1"/>
          <w:numId w:val="0"/>
        </w:numPr>
        <w:tabs>
          <w:tab w:val="left" w:pos="1440"/>
        </w:tabs>
        <w:spacing w:before="156" w:after="156" w:line="360" w:lineRule="auto"/>
        <w:rPr>
          <w:rFonts w:cs="宋体"/>
          <w:b w:val="0"/>
          <w:bCs/>
        </w:rPr>
      </w:pPr>
      <w:r>
        <w:rPr>
          <w:rFonts w:hint="eastAsia" w:cs="宋体"/>
          <w:b w:val="0"/>
          <w:bCs/>
        </w:rPr>
        <w:t>1.4、整机全部是模具化制造，不锈钢机身；</w:t>
      </w:r>
    </w:p>
    <w:p>
      <w:pPr>
        <w:pStyle w:val="76"/>
        <w:numPr>
          <w:ilvl w:val="1"/>
          <w:numId w:val="0"/>
        </w:numPr>
        <w:tabs>
          <w:tab w:val="left" w:pos="1440"/>
        </w:tabs>
        <w:spacing w:before="156" w:after="156" w:line="360" w:lineRule="auto"/>
        <w:rPr>
          <w:rFonts w:cs="宋体"/>
          <w:b w:val="0"/>
          <w:bCs/>
        </w:rPr>
      </w:pPr>
      <w:r>
        <w:rPr>
          <w:rFonts w:hint="eastAsia" w:cs="宋体"/>
          <w:b w:val="0"/>
          <w:bCs/>
        </w:rPr>
        <w:t>1.5、吸入端和呼出端各有独立流量传感器，流量传感器非耗材，可消毒；</w:t>
      </w:r>
    </w:p>
    <w:p>
      <w:pPr>
        <w:pStyle w:val="76"/>
        <w:numPr>
          <w:ilvl w:val="1"/>
          <w:numId w:val="0"/>
        </w:numPr>
        <w:tabs>
          <w:tab w:val="left" w:pos="1440"/>
        </w:tabs>
        <w:spacing w:before="156" w:after="156" w:line="360" w:lineRule="auto"/>
        <w:rPr>
          <w:rFonts w:cs="宋体"/>
          <w:b w:val="0"/>
          <w:bCs/>
        </w:rPr>
      </w:pPr>
      <w:r>
        <w:rPr>
          <w:rFonts w:hint="eastAsia" w:cs="宋体"/>
          <w:b w:val="0"/>
          <w:bCs/>
        </w:rPr>
        <w:t>1.6、呼吸回路可整体加热，呼吸回路可高温高压消毒，以防止交叉感染；</w:t>
      </w:r>
    </w:p>
    <w:p>
      <w:pPr>
        <w:pStyle w:val="76"/>
        <w:numPr>
          <w:ilvl w:val="1"/>
          <w:numId w:val="0"/>
        </w:numPr>
        <w:tabs>
          <w:tab w:val="left" w:pos="1440"/>
        </w:tabs>
        <w:spacing w:before="156" w:after="156" w:line="360" w:lineRule="auto"/>
        <w:rPr>
          <w:rFonts w:cs="宋体"/>
          <w:b w:val="0"/>
          <w:bCs/>
        </w:rPr>
      </w:pPr>
      <w:r>
        <w:rPr>
          <w:rFonts w:hint="eastAsia" w:cs="宋体"/>
          <w:b w:val="0"/>
          <w:bCs/>
        </w:rPr>
        <w:t>2、麻醉呼吸机部分</w:t>
      </w:r>
    </w:p>
    <w:p>
      <w:pPr>
        <w:pStyle w:val="76"/>
        <w:numPr>
          <w:ilvl w:val="1"/>
          <w:numId w:val="0"/>
        </w:numPr>
        <w:tabs>
          <w:tab w:val="left" w:pos="1440"/>
        </w:tabs>
        <w:spacing w:before="156" w:after="156" w:line="360" w:lineRule="auto"/>
        <w:rPr>
          <w:rFonts w:cs="宋体"/>
          <w:b w:val="0"/>
          <w:bCs/>
        </w:rPr>
      </w:pPr>
      <w:r>
        <w:rPr>
          <w:rFonts w:hint="eastAsia" w:cs="宋体"/>
          <w:b w:val="0"/>
          <w:bCs/>
        </w:rPr>
        <w:t>2.1、通气模式（标配）：VCV、PCV、SIMV-V、叹息、待机、手动模式；可选配升级模式：PRVC、SIMV-PRVC、SIMV-P；</w:t>
      </w:r>
    </w:p>
    <w:p>
      <w:pPr>
        <w:pStyle w:val="76"/>
        <w:numPr>
          <w:ilvl w:val="1"/>
          <w:numId w:val="0"/>
        </w:numPr>
        <w:tabs>
          <w:tab w:val="left" w:pos="1440"/>
        </w:tabs>
        <w:spacing w:before="156" w:after="156" w:line="360" w:lineRule="auto"/>
        <w:rPr>
          <w:rFonts w:cs="宋体"/>
          <w:b w:val="0"/>
          <w:bCs/>
        </w:rPr>
      </w:pPr>
      <w:r>
        <w:rPr>
          <w:rFonts w:hint="eastAsia" w:cs="宋体"/>
          <w:b w:val="0"/>
          <w:bCs/>
        </w:rPr>
        <w:t>2.2、波形（标配）：压力-时间、流量-时间、容量-时间。可选配波形：二氧化碳浓度-时间；</w:t>
      </w:r>
    </w:p>
    <w:p>
      <w:pPr>
        <w:pStyle w:val="76"/>
        <w:numPr>
          <w:ilvl w:val="1"/>
          <w:numId w:val="0"/>
        </w:numPr>
        <w:tabs>
          <w:tab w:val="left" w:pos="1440"/>
        </w:tabs>
        <w:spacing w:before="156" w:after="156" w:line="360" w:lineRule="auto"/>
        <w:rPr>
          <w:rFonts w:cs="宋体"/>
          <w:b w:val="0"/>
          <w:bCs/>
        </w:rPr>
      </w:pPr>
      <w:r>
        <w:rPr>
          <w:rFonts w:hint="eastAsia" w:cs="宋体"/>
          <w:b w:val="0"/>
          <w:bCs/>
        </w:rPr>
        <w:t>2.3、呼吸环图显示：压力-容量环，流量-容量环；</w:t>
      </w:r>
    </w:p>
    <w:p>
      <w:pPr>
        <w:pStyle w:val="76"/>
        <w:numPr>
          <w:ilvl w:val="1"/>
          <w:numId w:val="0"/>
        </w:numPr>
        <w:tabs>
          <w:tab w:val="left" w:pos="1440"/>
        </w:tabs>
        <w:spacing w:before="156" w:after="156" w:line="360" w:lineRule="auto"/>
        <w:rPr>
          <w:rFonts w:cs="宋体"/>
          <w:b w:val="0"/>
          <w:bCs/>
        </w:rPr>
      </w:pPr>
      <w:r>
        <w:rPr>
          <w:rFonts w:hint="eastAsia" w:cs="宋体"/>
          <w:b w:val="0"/>
          <w:bCs/>
        </w:rPr>
        <w:t>2.4、潮气量设置：10～1600ml；</w:t>
      </w:r>
    </w:p>
    <w:p>
      <w:pPr>
        <w:pStyle w:val="76"/>
        <w:numPr>
          <w:ilvl w:val="1"/>
          <w:numId w:val="0"/>
        </w:numPr>
        <w:tabs>
          <w:tab w:val="left" w:pos="1440"/>
        </w:tabs>
        <w:spacing w:before="156" w:after="156" w:line="360" w:lineRule="auto"/>
        <w:rPr>
          <w:rFonts w:cs="宋体"/>
          <w:b w:val="0"/>
          <w:bCs/>
        </w:rPr>
      </w:pPr>
      <w:r>
        <w:rPr>
          <w:rFonts w:hint="eastAsia" w:cs="宋体"/>
          <w:b w:val="0"/>
          <w:bCs/>
        </w:rPr>
        <w:t>2.5、压力控制水平：5～70 cmH2O；</w:t>
      </w:r>
    </w:p>
    <w:p>
      <w:pPr>
        <w:pStyle w:val="76"/>
        <w:numPr>
          <w:ilvl w:val="1"/>
          <w:numId w:val="0"/>
        </w:numPr>
        <w:tabs>
          <w:tab w:val="left" w:pos="1440"/>
        </w:tabs>
        <w:spacing w:before="156" w:after="156" w:line="360" w:lineRule="auto"/>
        <w:rPr>
          <w:rFonts w:cs="宋体"/>
          <w:b w:val="0"/>
          <w:bCs/>
        </w:rPr>
      </w:pPr>
      <w:r>
        <w:rPr>
          <w:rFonts w:hint="eastAsia" w:cs="宋体"/>
          <w:b w:val="0"/>
          <w:bCs/>
        </w:rPr>
        <w:t>2.6、压力支持水平：0～70 cmH2O；</w:t>
      </w:r>
    </w:p>
    <w:p>
      <w:pPr>
        <w:pStyle w:val="76"/>
        <w:numPr>
          <w:ilvl w:val="1"/>
          <w:numId w:val="0"/>
        </w:numPr>
        <w:tabs>
          <w:tab w:val="left" w:pos="1440"/>
        </w:tabs>
        <w:spacing w:before="156" w:after="156" w:line="360" w:lineRule="auto"/>
        <w:rPr>
          <w:rFonts w:cs="宋体"/>
          <w:b w:val="0"/>
          <w:bCs/>
        </w:rPr>
      </w:pPr>
      <w:r>
        <w:rPr>
          <w:rFonts w:hint="eastAsia" w:cs="宋体"/>
          <w:b w:val="0"/>
          <w:bCs/>
        </w:rPr>
        <w:t>2.7、吸呼比：4:1 ～1:10；</w:t>
      </w:r>
    </w:p>
    <w:p>
      <w:pPr>
        <w:pStyle w:val="76"/>
        <w:numPr>
          <w:ilvl w:val="1"/>
          <w:numId w:val="0"/>
        </w:numPr>
        <w:tabs>
          <w:tab w:val="left" w:pos="1440"/>
        </w:tabs>
        <w:spacing w:before="156" w:after="156" w:line="360" w:lineRule="auto"/>
        <w:rPr>
          <w:rFonts w:cs="宋体"/>
          <w:b w:val="0"/>
          <w:bCs/>
        </w:rPr>
      </w:pPr>
      <w:r>
        <w:rPr>
          <w:rFonts w:hint="eastAsia" w:cs="宋体"/>
          <w:b w:val="0"/>
          <w:bCs/>
        </w:rPr>
        <w:t>2.8、吸气时间：0.1～10s；</w:t>
      </w:r>
    </w:p>
    <w:p>
      <w:pPr>
        <w:pStyle w:val="76"/>
        <w:numPr>
          <w:ilvl w:val="1"/>
          <w:numId w:val="0"/>
        </w:numPr>
        <w:tabs>
          <w:tab w:val="left" w:pos="1440"/>
        </w:tabs>
        <w:spacing w:before="156" w:after="156" w:line="360" w:lineRule="auto"/>
        <w:rPr>
          <w:rFonts w:cs="宋体"/>
          <w:b w:val="0"/>
          <w:bCs/>
        </w:rPr>
      </w:pPr>
      <w:r>
        <w:rPr>
          <w:rFonts w:hint="eastAsia" w:cs="宋体"/>
          <w:b w:val="0"/>
          <w:bCs/>
        </w:rPr>
        <w:t>2.9、呼吸频率设置：1～100bpm；</w:t>
      </w:r>
    </w:p>
    <w:p>
      <w:pPr>
        <w:pStyle w:val="76"/>
        <w:numPr>
          <w:ilvl w:val="1"/>
          <w:numId w:val="0"/>
        </w:numPr>
        <w:tabs>
          <w:tab w:val="left" w:pos="1440"/>
        </w:tabs>
        <w:spacing w:before="156" w:after="156" w:line="360" w:lineRule="auto"/>
        <w:rPr>
          <w:rFonts w:cs="宋体"/>
          <w:b w:val="0"/>
          <w:bCs/>
        </w:rPr>
      </w:pPr>
      <w:r>
        <w:rPr>
          <w:rFonts w:hint="eastAsia" w:cs="宋体"/>
          <w:b w:val="0"/>
          <w:bCs/>
        </w:rPr>
        <w:t>2.10、流量触发灵敏度：0.5～20LPM；</w:t>
      </w:r>
    </w:p>
    <w:p>
      <w:pPr>
        <w:pStyle w:val="76"/>
        <w:numPr>
          <w:ilvl w:val="1"/>
          <w:numId w:val="0"/>
        </w:numPr>
        <w:tabs>
          <w:tab w:val="left" w:pos="1440"/>
        </w:tabs>
        <w:spacing w:before="156" w:after="156" w:line="360" w:lineRule="auto"/>
        <w:rPr>
          <w:rFonts w:cs="宋体"/>
          <w:b w:val="0"/>
          <w:bCs/>
        </w:rPr>
      </w:pPr>
      <w:r>
        <w:rPr>
          <w:rFonts w:hint="eastAsia" w:cs="宋体"/>
          <w:b w:val="0"/>
          <w:bCs/>
        </w:rPr>
        <w:t>2.11、压力触发灵敏度：0.5～20 cmH2O；</w:t>
      </w:r>
    </w:p>
    <w:p>
      <w:pPr>
        <w:pStyle w:val="76"/>
        <w:numPr>
          <w:ilvl w:val="1"/>
          <w:numId w:val="0"/>
        </w:numPr>
        <w:tabs>
          <w:tab w:val="left" w:pos="1440"/>
        </w:tabs>
        <w:spacing w:before="156" w:after="156" w:line="360" w:lineRule="auto"/>
        <w:rPr>
          <w:rFonts w:cs="宋体"/>
          <w:b w:val="0"/>
          <w:bCs/>
        </w:rPr>
      </w:pPr>
      <w:r>
        <w:rPr>
          <w:rFonts w:hint="eastAsia" w:cs="宋体"/>
          <w:b w:val="0"/>
          <w:bCs/>
        </w:rPr>
        <w:t>2.12、吸气暂停时间：0～60%吸气时间；</w:t>
      </w:r>
    </w:p>
    <w:p>
      <w:pPr>
        <w:pStyle w:val="76"/>
        <w:numPr>
          <w:ilvl w:val="1"/>
          <w:numId w:val="0"/>
        </w:numPr>
        <w:tabs>
          <w:tab w:val="left" w:pos="1440"/>
        </w:tabs>
        <w:spacing w:before="156" w:after="156" w:line="360" w:lineRule="auto"/>
        <w:rPr>
          <w:rFonts w:cs="宋体"/>
          <w:b w:val="0"/>
          <w:bCs/>
        </w:rPr>
      </w:pPr>
      <w:r>
        <w:rPr>
          <w:rFonts w:hint="eastAsia" w:cs="宋体"/>
          <w:b w:val="0"/>
          <w:bCs/>
        </w:rPr>
        <w:t>2.13、压力上升时间： 0～2s；</w:t>
      </w:r>
    </w:p>
    <w:p>
      <w:pPr>
        <w:pStyle w:val="76"/>
        <w:numPr>
          <w:ilvl w:val="1"/>
          <w:numId w:val="0"/>
        </w:numPr>
        <w:tabs>
          <w:tab w:val="left" w:pos="1440"/>
        </w:tabs>
        <w:spacing w:before="156" w:after="156" w:line="360" w:lineRule="auto"/>
        <w:rPr>
          <w:rFonts w:cs="宋体"/>
          <w:b w:val="0"/>
          <w:bCs/>
        </w:rPr>
      </w:pPr>
      <w:r>
        <w:rPr>
          <w:rFonts w:hint="eastAsia" w:cs="宋体"/>
          <w:b w:val="0"/>
          <w:bCs/>
        </w:rPr>
        <w:t>2.14、呼气末正压：电子控制型，OFF, 3 - 30 cmH2O；</w:t>
      </w:r>
    </w:p>
    <w:p>
      <w:pPr>
        <w:pStyle w:val="76"/>
        <w:numPr>
          <w:ilvl w:val="1"/>
          <w:numId w:val="0"/>
        </w:numPr>
        <w:tabs>
          <w:tab w:val="left" w:pos="1440"/>
        </w:tabs>
        <w:spacing w:before="156" w:after="156" w:line="360" w:lineRule="auto"/>
        <w:rPr>
          <w:rFonts w:cs="宋体"/>
          <w:b w:val="0"/>
          <w:bCs/>
        </w:rPr>
      </w:pPr>
      <w:r>
        <w:rPr>
          <w:rFonts w:hint="eastAsia" w:cs="宋体"/>
          <w:b w:val="0"/>
          <w:bCs/>
        </w:rPr>
        <w:t>2.15、通气参数监测：</w:t>
      </w:r>
    </w:p>
    <w:p>
      <w:pPr>
        <w:pStyle w:val="76"/>
        <w:numPr>
          <w:ilvl w:val="1"/>
          <w:numId w:val="0"/>
        </w:numPr>
        <w:tabs>
          <w:tab w:val="left" w:pos="1440"/>
        </w:tabs>
        <w:spacing w:before="156" w:after="156" w:line="360" w:lineRule="auto"/>
        <w:rPr>
          <w:rFonts w:cs="宋体"/>
          <w:b w:val="0"/>
          <w:bCs/>
        </w:rPr>
      </w:pPr>
      <w:r>
        <w:rPr>
          <w:rFonts w:hint="eastAsia" w:cs="宋体"/>
          <w:b w:val="0"/>
          <w:bCs/>
        </w:rPr>
        <w:t>吸气潮气量、呼气潮气量、分钟通气量、呼吸频率、吸呼比监测、气道峰压、平均气道压力、呼气末正压、吸气平台压力、吸入氧浓度、顺应性、气道阻力；</w:t>
      </w:r>
    </w:p>
    <w:p>
      <w:pPr>
        <w:pStyle w:val="76"/>
        <w:numPr>
          <w:ilvl w:val="1"/>
          <w:numId w:val="0"/>
        </w:numPr>
        <w:tabs>
          <w:tab w:val="left" w:pos="1440"/>
        </w:tabs>
        <w:spacing w:before="156" w:after="156" w:line="360" w:lineRule="auto"/>
        <w:rPr>
          <w:rFonts w:cs="宋体"/>
          <w:b w:val="0"/>
          <w:bCs/>
        </w:rPr>
      </w:pPr>
      <w:r>
        <w:rPr>
          <w:rFonts w:hint="eastAsia" w:cs="宋体"/>
          <w:b w:val="0"/>
          <w:bCs/>
        </w:rPr>
        <w:t>2.16、报警参数</w:t>
      </w:r>
    </w:p>
    <w:p>
      <w:pPr>
        <w:pStyle w:val="76"/>
        <w:numPr>
          <w:ilvl w:val="1"/>
          <w:numId w:val="0"/>
        </w:numPr>
        <w:tabs>
          <w:tab w:val="left" w:pos="1440"/>
        </w:tabs>
        <w:spacing w:before="156" w:after="156" w:line="360" w:lineRule="auto"/>
        <w:rPr>
          <w:rFonts w:cs="宋体"/>
          <w:b w:val="0"/>
          <w:bCs/>
        </w:rPr>
      </w:pPr>
      <w:r>
        <w:rPr>
          <w:rFonts w:hint="eastAsia" w:cs="宋体"/>
          <w:b w:val="0"/>
          <w:bCs/>
        </w:rPr>
        <w:t>潮气量上下限、分钟通气量上下限、吸入氧浓度上下限、气道压力上下限、呼吸频率上下限、呼末二氧化碳上下限、窒息报警、氧气气源压力低；</w:t>
      </w:r>
    </w:p>
    <w:p>
      <w:pPr>
        <w:pStyle w:val="76"/>
        <w:numPr>
          <w:ilvl w:val="1"/>
          <w:numId w:val="0"/>
        </w:numPr>
        <w:tabs>
          <w:tab w:val="left" w:pos="1440"/>
        </w:tabs>
        <w:spacing w:before="156" w:after="156" w:line="360" w:lineRule="auto"/>
        <w:rPr>
          <w:rFonts w:cs="宋体"/>
          <w:b w:val="0"/>
          <w:bCs/>
        </w:rPr>
      </w:pPr>
      <w:r>
        <w:rPr>
          <w:rFonts w:hint="eastAsia" w:cs="宋体"/>
          <w:b w:val="0"/>
          <w:bCs/>
        </w:rPr>
        <w:t>2.17、监测模块</w:t>
      </w:r>
    </w:p>
    <w:p>
      <w:pPr>
        <w:pStyle w:val="76"/>
        <w:numPr>
          <w:ilvl w:val="1"/>
          <w:numId w:val="0"/>
        </w:numPr>
        <w:tabs>
          <w:tab w:val="left" w:pos="1440"/>
        </w:tabs>
        <w:spacing w:before="156" w:after="156" w:line="360" w:lineRule="auto"/>
        <w:rPr>
          <w:rFonts w:cs="宋体"/>
          <w:b w:val="0"/>
          <w:bCs/>
        </w:rPr>
      </w:pPr>
      <w:r>
        <w:rPr>
          <w:rFonts w:hint="eastAsia" w:cs="宋体"/>
          <w:b w:val="0"/>
          <w:bCs/>
        </w:rPr>
        <w:t>（1）氧浓度传感器（选配）；</w:t>
      </w:r>
    </w:p>
    <w:p>
      <w:pPr>
        <w:pStyle w:val="76"/>
        <w:numPr>
          <w:ilvl w:val="1"/>
          <w:numId w:val="0"/>
        </w:numPr>
        <w:tabs>
          <w:tab w:val="left" w:pos="1440"/>
        </w:tabs>
        <w:spacing w:before="156" w:after="156" w:line="360" w:lineRule="auto"/>
        <w:rPr>
          <w:rFonts w:cs="宋体"/>
          <w:b w:val="0"/>
          <w:bCs/>
        </w:rPr>
      </w:pPr>
      <w:r>
        <w:rPr>
          <w:rFonts w:hint="eastAsia" w:cs="宋体"/>
          <w:b w:val="0"/>
          <w:bCs/>
        </w:rPr>
        <w:t>（2）旁流呼末二氧化碳模块（选配）；</w:t>
      </w:r>
    </w:p>
    <w:p>
      <w:pPr>
        <w:pStyle w:val="76"/>
        <w:numPr>
          <w:ilvl w:val="1"/>
          <w:numId w:val="0"/>
        </w:numPr>
        <w:tabs>
          <w:tab w:val="left" w:pos="1440"/>
        </w:tabs>
        <w:spacing w:before="156" w:after="156" w:line="360" w:lineRule="auto"/>
        <w:rPr>
          <w:rFonts w:cs="宋体"/>
          <w:b w:val="0"/>
          <w:bCs/>
        </w:rPr>
      </w:pPr>
      <w:r>
        <w:rPr>
          <w:rFonts w:hint="eastAsia" w:cs="宋体"/>
          <w:b w:val="0"/>
          <w:bCs/>
        </w:rPr>
        <w:t>2.18、内部电池供电时间≥90min.；</w:t>
      </w:r>
    </w:p>
    <w:p>
      <w:pPr>
        <w:pStyle w:val="76"/>
        <w:numPr>
          <w:ilvl w:val="1"/>
          <w:numId w:val="0"/>
        </w:numPr>
        <w:tabs>
          <w:tab w:val="left" w:pos="1440"/>
        </w:tabs>
        <w:spacing w:before="156" w:after="156" w:line="360" w:lineRule="auto"/>
        <w:rPr>
          <w:rFonts w:cs="宋体"/>
          <w:b w:val="0"/>
          <w:bCs/>
        </w:rPr>
      </w:pPr>
      <w:r>
        <w:rPr>
          <w:rFonts w:hint="eastAsia" w:cs="宋体"/>
          <w:b w:val="0"/>
          <w:bCs/>
        </w:rPr>
        <w:t>2.19、数据通讯接口:3个。2个串口RS232，1个USB接口；</w:t>
      </w:r>
    </w:p>
    <w:p>
      <w:pPr>
        <w:pStyle w:val="76"/>
        <w:numPr>
          <w:ilvl w:val="1"/>
          <w:numId w:val="0"/>
        </w:numPr>
        <w:tabs>
          <w:tab w:val="left" w:pos="1440"/>
        </w:tabs>
        <w:spacing w:before="156" w:after="156" w:line="360" w:lineRule="auto"/>
        <w:rPr>
          <w:rFonts w:cs="宋体"/>
          <w:b w:val="0"/>
          <w:bCs/>
        </w:rPr>
      </w:pPr>
      <w:r>
        <w:rPr>
          <w:rFonts w:hint="eastAsia" w:cs="宋体"/>
          <w:b w:val="0"/>
          <w:bCs/>
        </w:rPr>
        <w:t>3、麻醉机部分</w:t>
      </w:r>
    </w:p>
    <w:p>
      <w:pPr>
        <w:pStyle w:val="76"/>
        <w:numPr>
          <w:ilvl w:val="1"/>
          <w:numId w:val="0"/>
        </w:numPr>
        <w:tabs>
          <w:tab w:val="left" w:pos="1440"/>
        </w:tabs>
        <w:spacing w:before="156" w:after="156" w:line="360" w:lineRule="auto"/>
        <w:rPr>
          <w:rFonts w:cs="宋体"/>
          <w:b w:val="0"/>
          <w:bCs/>
        </w:rPr>
      </w:pPr>
      <w:r>
        <w:rPr>
          <w:rFonts w:hint="eastAsia" w:cs="宋体"/>
          <w:b w:val="0"/>
          <w:bCs/>
        </w:rPr>
        <w:t>3.1、气源：氧气、笑气和空气。气源输入压力范围：280 kPa～ 600 kPa；</w:t>
      </w:r>
    </w:p>
    <w:p>
      <w:pPr>
        <w:pStyle w:val="76"/>
        <w:numPr>
          <w:ilvl w:val="1"/>
          <w:numId w:val="0"/>
        </w:numPr>
        <w:tabs>
          <w:tab w:val="left" w:pos="1440"/>
        </w:tabs>
        <w:spacing w:before="156" w:after="156" w:line="360" w:lineRule="auto"/>
        <w:rPr>
          <w:rFonts w:cs="宋体"/>
          <w:b w:val="0"/>
          <w:bCs/>
        </w:rPr>
      </w:pPr>
      <w:r>
        <w:rPr>
          <w:rFonts w:hint="eastAsia" w:cs="宋体"/>
          <w:b w:val="0"/>
          <w:bCs/>
        </w:rPr>
        <w:t>3.2、快速充氧：25～75LPM；</w:t>
      </w:r>
    </w:p>
    <w:p>
      <w:pPr>
        <w:pStyle w:val="76"/>
        <w:numPr>
          <w:ilvl w:val="1"/>
          <w:numId w:val="0"/>
        </w:numPr>
        <w:tabs>
          <w:tab w:val="left" w:pos="1440"/>
        </w:tabs>
        <w:spacing w:before="156" w:after="156" w:line="360" w:lineRule="auto"/>
        <w:rPr>
          <w:rFonts w:cs="宋体"/>
          <w:b w:val="0"/>
          <w:bCs/>
        </w:rPr>
      </w:pPr>
      <w:r>
        <w:rPr>
          <w:rFonts w:hint="eastAsia" w:cs="宋体"/>
          <w:b w:val="0"/>
          <w:bCs/>
        </w:rPr>
        <w:t>3.3、新鲜气体流量计：六管流量计；氧气：0～ 10LPM、空气：0～ 15LPM、笑气：0～ 12LPM；</w:t>
      </w:r>
    </w:p>
    <w:p>
      <w:pPr>
        <w:pStyle w:val="76"/>
        <w:numPr>
          <w:ilvl w:val="1"/>
          <w:numId w:val="0"/>
        </w:numPr>
        <w:tabs>
          <w:tab w:val="left" w:pos="1440"/>
        </w:tabs>
        <w:spacing w:before="156" w:after="156" w:line="360" w:lineRule="auto"/>
        <w:rPr>
          <w:rFonts w:cs="宋体"/>
          <w:b w:val="0"/>
          <w:bCs/>
        </w:rPr>
      </w:pPr>
      <w:r>
        <w:rPr>
          <w:rFonts w:hint="eastAsia" w:cs="宋体"/>
          <w:b w:val="0"/>
          <w:bCs/>
        </w:rPr>
        <w:t>3.4、氧气和笑气按比例调节，确保氧浓度不低于21%；</w:t>
      </w:r>
    </w:p>
    <w:p>
      <w:pPr>
        <w:pStyle w:val="76"/>
        <w:numPr>
          <w:ilvl w:val="1"/>
          <w:numId w:val="0"/>
        </w:numPr>
        <w:tabs>
          <w:tab w:val="left" w:pos="1440"/>
        </w:tabs>
        <w:spacing w:before="156" w:after="156" w:line="360" w:lineRule="auto"/>
        <w:rPr>
          <w:rFonts w:cs="宋体"/>
          <w:b w:val="0"/>
          <w:bCs/>
        </w:rPr>
      </w:pPr>
      <w:r>
        <w:rPr>
          <w:rFonts w:hint="eastAsia" w:cs="宋体"/>
          <w:b w:val="0"/>
          <w:bCs/>
        </w:rPr>
        <w:t>3.5、呼吸回路：整体集成回路、内置2个传感器（吸入端和呼出端）、集成积水杯1个；</w:t>
      </w:r>
    </w:p>
    <w:p>
      <w:pPr>
        <w:pStyle w:val="76"/>
        <w:numPr>
          <w:ilvl w:val="1"/>
          <w:numId w:val="0"/>
        </w:numPr>
        <w:tabs>
          <w:tab w:val="left" w:pos="1440"/>
        </w:tabs>
        <w:spacing w:before="156" w:after="156" w:line="360" w:lineRule="auto"/>
        <w:rPr>
          <w:rFonts w:cs="宋体"/>
          <w:b w:val="0"/>
          <w:bCs/>
        </w:rPr>
      </w:pPr>
      <w:r>
        <w:rPr>
          <w:rFonts w:hint="eastAsia" w:cs="宋体"/>
          <w:b w:val="0"/>
          <w:bCs/>
        </w:rPr>
        <w:t>有回路自动加热功能，回路可以一键拆卸，耐134℃高温高压消毒灭菌；</w:t>
      </w:r>
    </w:p>
    <w:p>
      <w:pPr>
        <w:pStyle w:val="76"/>
        <w:numPr>
          <w:ilvl w:val="1"/>
          <w:numId w:val="0"/>
        </w:numPr>
        <w:tabs>
          <w:tab w:val="left" w:pos="1440"/>
        </w:tabs>
        <w:spacing w:before="156" w:after="156" w:line="360" w:lineRule="auto"/>
        <w:rPr>
          <w:rFonts w:cs="宋体"/>
          <w:b w:val="0"/>
          <w:bCs/>
        </w:rPr>
      </w:pPr>
      <w:r>
        <w:rPr>
          <w:rFonts w:hint="eastAsia" w:cs="宋体"/>
          <w:b w:val="0"/>
          <w:bCs/>
        </w:rPr>
        <w:t>3.6、具备 bypass功能，手术过程中可以不停机更换钠石灰，同时具有钠石灰罐移除报警；</w:t>
      </w:r>
    </w:p>
    <w:p>
      <w:pPr>
        <w:pStyle w:val="76"/>
        <w:numPr>
          <w:ilvl w:val="1"/>
          <w:numId w:val="0"/>
        </w:numPr>
        <w:tabs>
          <w:tab w:val="left" w:pos="1440"/>
        </w:tabs>
        <w:spacing w:before="156" w:after="156" w:line="360" w:lineRule="auto"/>
        <w:rPr>
          <w:rFonts w:cs="宋体"/>
          <w:b w:val="0"/>
          <w:bCs/>
        </w:rPr>
      </w:pPr>
      <w:r>
        <w:rPr>
          <w:rFonts w:hint="eastAsia" w:cs="宋体"/>
          <w:b w:val="0"/>
          <w:bCs/>
        </w:rPr>
        <w:t>3.7、压力限制阀（APL阀）：0～70 cmH2O；</w:t>
      </w:r>
    </w:p>
    <w:p>
      <w:pPr>
        <w:pStyle w:val="76"/>
        <w:numPr>
          <w:ilvl w:val="1"/>
          <w:numId w:val="0"/>
        </w:numPr>
        <w:tabs>
          <w:tab w:val="left" w:pos="1440"/>
        </w:tabs>
        <w:spacing w:before="156" w:after="156" w:line="360" w:lineRule="auto"/>
        <w:rPr>
          <w:rFonts w:cs="宋体"/>
          <w:b w:val="0"/>
          <w:bCs/>
        </w:rPr>
      </w:pPr>
      <w:r>
        <w:rPr>
          <w:rFonts w:hint="eastAsia" w:cs="宋体"/>
          <w:b w:val="0"/>
          <w:bCs/>
        </w:rPr>
        <w:t>3.8、辅助吸氧装置；</w:t>
      </w:r>
    </w:p>
    <w:p>
      <w:pPr>
        <w:pStyle w:val="76"/>
        <w:numPr>
          <w:ilvl w:val="1"/>
          <w:numId w:val="0"/>
        </w:numPr>
        <w:tabs>
          <w:tab w:val="left" w:pos="1440"/>
        </w:tabs>
        <w:spacing w:before="156" w:after="156" w:line="360" w:lineRule="auto"/>
        <w:rPr>
          <w:rFonts w:cs="宋体"/>
          <w:b w:val="0"/>
          <w:bCs/>
        </w:rPr>
      </w:pPr>
      <w:r>
        <w:rPr>
          <w:rFonts w:hint="eastAsia" w:cs="宋体"/>
          <w:b w:val="0"/>
          <w:bCs/>
        </w:rPr>
        <w:t>4、麻醉蒸发器部分</w:t>
      </w:r>
    </w:p>
    <w:p>
      <w:pPr>
        <w:pStyle w:val="76"/>
        <w:numPr>
          <w:ilvl w:val="1"/>
          <w:numId w:val="0"/>
        </w:numPr>
        <w:tabs>
          <w:tab w:val="left" w:pos="1440"/>
        </w:tabs>
        <w:spacing w:before="156" w:after="156" w:line="360" w:lineRule="auto"/>
        <w:rPr>
          <w:rFonts w:cs="宋体"/>
          <w:b w:val="0"/>
          <w:bCs/>
        </w:rPr>
      </w:pPr>
      <w:r>
        <w:rPr>
          <w:rFonts w:hint="eastAsia" w:cs="宋体"/>
          <w:b w:val="0"/>
          <w:bCs/>
        </w:rPr>
        <w:t>4.1、双罐位，具有互锁功能。标配一个蒸发器（异氟醚、七氟醚任选）；</w:t>
      </w:r>
    </w:p>
    <w:p>
      <w:pPr>
        <w:pStyle w:val="76"/>
        <w:numPr>
          <w:ilvl w:val="1"/>
          <w:numId w:val="0"/>
        </w:numPr>
        <w:tabs>
          <w:tab w:val="left" w:pos="1440"/>
        </w:tabs>
        <w:spacing w:before="156" w:after="156" w:line="360" w:lineRule="auto"/>
        <w:rPr>
          <w:rFonts w:cs="宋体"/>
          <w:b w:val="0"/>
          <w:bCs/>
        </w:rPr>
      </w:pPr>
      <w:r>
        <w:rPr>
          <w:rFonts w:hint="eastAsia" w:cs="宋体"/>
          <w:b w:val="0"/>
          <w:bCs/>
        </w:rPr>
        <w:t>4.2、蒸发器必须有温度、压力、流量补偿功能。</w:t>
      </w:r>
    </w:p>
    <w:p>
      <w:pPr>
        <w:pStyle w:val="76"/>
        <w:numPr>
          <w:ilvl w:val="1"/>
          <w:numId w:val="0"/>
        </w:numPr>
        <w:tabs>
          <w:tab w:val="left" w:pos="1440"/>
        </w:tabs>
        <w:spacing w:before="156" w:after="156" w:line="360" w:lineRule="auto"/>
        <w:rPr>
          <w:rFonts w:cs="宋体"/>
        </w:rPr>
      </w:pPr>
      <w:r>
        <w:rPr>
          <w:rFonts w:hint="eastAsia" w:cs="宋体"/>
        </w:rPr>
        <w:t>2、可视喉镜，一台</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 整机</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 xml:space="preserve">1.1、 </w:t>
      </w:r>
      <w:r>
        <w:rPr>
          <w:rFonts w:hint="eastAsia" w:cs="宋体"/>
        </w:rPr>
        <w:t>▲</w:t>
      </w:r>
      <w:r>
        <w:rPr>
          <w:rFonts w:hint="eastAsia" w:cs="宋体"/>
          <w:b w:val="0"/>
          <w:bCs/>
        </w:rPr>
        <w:t>分辨率：≥9 lp/mm；</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1.2、 视场角：≥90°；</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1.3、 电池采用锂电池，可重复充电使用；</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1.4、 充电次数：≥300次；</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1.5、 液晶屏：≥3寸广角高清显示屏；</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1.6、 摄像头：CCD；</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 xml:space="preserve">1.7、 </w:t>
      </w:r>
      <w:r>
        <w:rPr>
          <w:rFonts w:hint="eastAsia" w:cs="宋体"/>
        </w:rPr>
        <w:t>▲</w:t>
      </w:r>
      <w:r>
        <w:rPr>
          <w:rFonts w:hint="eastAsia" w:cs="宋体"/>
          <w:b w:val="0"/>
          <w:bCs/>
        </w:rPr>
        <w:t>外壳：整机采用医用高分子材料；</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1.8、 功耗：≤2w；</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1.9、 显示器前后转动角度：上下0°--140°；</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1.11、 摄像头内置的全密封防水高功率LED光源，光照度：≥500LUX；</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1.12、即时防雾功能；</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1.13、摄像头分辨率 200万像素 ；</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1.14、显示屏分辨率：640*480；</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1.15、</w:t>
      </w:r>
      <w:r>
        <w:rPr>
          <w:rFonts w:hint="eastAsia" w:cs="宋体"/>
        </w:rPr>
        <w:t>▲</w:t>
      </w:r>
      <w:r>
        <w:rPr>
          <w:rFonts w:hint="eastAsia" w:cs="宋体"/>
          <w:b w:val="0"/>
          <w:bCs/>
        </w:rPr>
        <w:t>一台主机可通用两种不同规格的一次性使用喉镜片，不需要更换主机；</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2、 一次性喉镜片参数；</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2.1、摄像头与镜片前端的垂直距离：≤45mm；</w:t>
      </w:r>
    </w:p>
    <w:p>
      <w:pPr>
        <w:pStyle w:val="76"/>
        <w:numPr>
          <w:ilvl w:val="1"/>
          <w:numId w:val="0"/>
        </w:numPr>
        <w:tabs>
          <w:tab w:val="left" w:pos="1440"/>
        </w:tabs>
        <w:spacing w:before="156" w:after="156" w:line="360" w:lineRule="auto"/>
        <w:ind w:left="239" w:leftChars="114"/>
        <w:rPr>
          <w:rFonts w:cs="宋体"/>
          <w:b w:val="0"/>
          <w:bCs/>
        </w:rPr>
      </w:pPr>
      <w:r>
        <w:rPr>
          <w:rFonts w:hint="eastAsia" w:cs="宋体"/>
          <w:b w:val="0"/>
          <w:bCs/>
        </w:rPr>
        <w:t xml:space="preserve">2.2、可插入镜片长度：成人大号122mm±5mm,末端宽度：16±5mm,成人中号，成人 </w:t>
      </w:r>
    </w:p>
    <w:p>
      <w:pPr>
        <w:pStyle w:val="76"/>
        <w:numPr>
          <w:ilvl w:val="1"/>
          <w:numId w:val="0"/>
        </w:numPr>
        <w:tabs>
          <w:tab w:val="left" w:pos="1440"/>
        </w:tabs>
        <w:spacing w:before="156" w:after="156" w:line="360" w:lineRule="auto"/>
        <w:rPr>
          <w:rFonts w:cs="宋体"/>
          <w:b w:val="0"/>
          <w:bCs/>
        </w:rPr>
      </w:pPr>
      <w:r>
        <w:rPr>
          <w:rFonts w:hint="eastAsia" w:cs="宋体"/>
          <w:b w:val="0"/>
          <w:bCs/>
        </w:rPr>
        <w:t>小号：长度112mm±5mm,末端宽度：15±5mm；</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2.3、镜片角度：42°；</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2.4、材质：医用级高分子复合材料。</w:t>
      </w:r>
    </w:p>
    <w:p>
      <w:pPr>
        <w:pStyle w:val="76"/>
        <w:numPr>
          <w:ilvl w:val="1"/>
          <w:numId w:val="0"/>
        </w:numPr>
        <w:tabs>
          <w:tab w:val="left" w:pos="1440"/>
        </w:tabs>
        <w:spacing w:before="156" w:after="156" w:line="360" w:lineRule="auto"/>
        <w:rPr>
          <w:rFonts w:cs="宋体"/>
        </w:rPr>
      </w:pPr>
      <w:r>
        <w:rPr>
          <w:rFonts w:hint="eastAsia" w:cs="宋体"/>
        </w:rPr>
        <w:t>3、心电监护仪，一台</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1、CFDA Ⅲ类注册，可通过有线和无线的方式联入中央监护系统；</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 xml:space="preserve">2、显示屏：尺寸≥12.1”，彩色触摸屏，观察波形通道≥10道； </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3、标准配置：心电(ECG)、呼吸(RESP)、无创血压(NIBP)、血氧饱和度(SpO2)、脉率(PR)、双体温(TEMP)、锂电池；可选配置：呼末二氧化碳(EtCO2)、双有创压力(2×IBP)监测功能；记录仪；</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4、监护的病人类型包括：成人、小儿、新生儿；</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5、显示界面：提供常规界面与大字体、7导联同屏、他床观察、呼吸氧合图OxyCRG等界面；</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6、心电、呼吸、无创血压、血氧、体温参数的医用电气安全级别CF级，患者漏电流不超过0.01mA；</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7、心电：5导联，具有24种心律失常分析和ST分析功能；</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8、心率：具备心率变异分析功能；</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 xml:space="preserve">9、无创血压：具备动态血压分析功能， 具有收缩压和舒张压的血压差报警功能；     </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10、血氧：标配 Masimo或FAST血氧；</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11、数据存储与回顾：</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11.1、无需存储卡或中央站，监护仪存储1500组NIBP数据列表；</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11.2、无需存储卡或中央站，监护仪趋势存储回放时间1000小时；</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12、锂电池：高容量锂电池，≥4800mAh，≥4800mAh，≥11.1V。</w:t>
      </w:r>
    </w:p>
    <w:p>
      <w:pPr>
        <w:pStyle w:val="76"/>
        <w:numPr>
          <w:ilvl w:val="1"/>
          <w:numId w:val="0"/>
        </w:numPr>
        <w:tabs>
          <w:tab w:val="left" w:pos="1440"/>
        </w:tabs>
        <w:spacing w:before="156" w:after="156" w:line="360" w:lineRule="auto"/>
        <w:ind w:firstLine="241" w:firstLineChars="100"/>
        <w:rPr>
          <w:rFonts w:cs="宋体"/>
        </w:rPr>
      </w:pPr>
      <w:r>
        <w:rPr>
          <w:rFonts w:hint="eastAsia" w:cs="宋体"/>
        </w:rPr>
        <w:t>4、氩气刀，一套</w:t>
      </w:r>
    </w:p>
    <w:tbl>
      <w:tblPr>
        <w:tblStyle w:val="22"/>
        <w:tblW w:w="9360" w:type="dxa"/>
        <w:tblInd w:w="96" w:type="dxa"/>
        <w:tblLayout w:type="autofit"/>
        <w:tblCellMar>
          <w:top w:w="0" w:type="dxa"/>
          <w:left w:w="108" w:type="dxa"/>
          <w:bottom w:w="0" w:type="dxa"/>
          <w:right w:w="108" w:type="dxa"/>
        </w:tblCellMar>
      </w:tblPr>
      <w:tblGrid>
        <w:gridCol w:w="3555"/>
        <w:gridCol w:w="3165"/>
        <w:gridCol w:w="1560"/>
        <w:gridCol w:w="1080"/>
      </w:tblGrid>
      <w:tr>
        <w:tblPrEx>
          <w:tblCellMar>
            <w:top w:w="0" w:type="dxa"/>
            <w:left w:w="108" w:type="dxa"/>
            <w:bottom w:w="0" w:type="dxa"/>
            <w:right w:w="108" w:type="dxa"/>
          </w:tblCellMar>
        </w:tblPrEx>
        <w:trPr>
          <w:trHeight w:val="585"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       称</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规格型号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       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氩气刀专用台车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脚 踏 开 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氩气专用钢瓶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内 镜 连 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一次性极板连线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储物篮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   源  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220V/20A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氩束电极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胃镜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氩束电极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肠镜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氩气减压阀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Yar-04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气       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氩       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一次性负极板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GPD-II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技术使用说明书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保修证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合格证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bl>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（一）采购总体要求</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1、国内知名品牌；</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2、设备主要用于消化科，胃肠镜下做常规治疗；</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3、氩气控制与高频电部分一体化，操作方便；</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4、需厂家提供授权或代理证，便于售后服务；</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5.、江苏省内有50家以上医院消化科用该品牌机器，并提供医院装机验收单和用户联系方式，以便医院核对。</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（二）技术参数</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1、工作频率：电切: 430KHz±50 KHz、电凝：600KHz±50 KHz；</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2、电切额定输出功率：300W；</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2.1、电切1功率： 0-300W(混切，500Ω负载)；</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2.2、电切2功率： 0-300W(凝切，500Ω负载)；</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3、电凝额定输出功率</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3.1、强力凝功率：0-120 W（500Ω负载）；</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3.2、氩束凝功率：0-120 W（500Ω负载）；</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4、双凝功率：0-100 W（125Ω负载）；</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5、低频漏电流(正常状态)</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5.1、对地漏电流：≤0.5mA；</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5.2、外壳漏电流：≤0.1mA；</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5.3、患者漏电流：≤0.01 mA；</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6、高频漏电流：≤150mA；</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7、安全性能：属Ⅰ类CF型的，由标志表示；</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8、供电电源：AC220V±22V，50Hz±1Hz, 整机输入功率：800 VA；</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9、氩气控制与高频电部分一体化；</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10、具有双反馈回路自动功率控制，输出功率稳定安全可靠；</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11、单、双中性极板检测功能，极板故障时，发出语音提示和声光报警，并停止输出；</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12、高频氩气电刀采用三联脚踏或按键控制（提供实物照片）；</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13、氩气流量控制为全数字化自动控制保证气流的精确稳定，氩气流量自动补偿；</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14、氩束激发距离在7-10mm以上，保证内镜下的视野清晰；</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15、电切电凝输出均为自动方式；</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16、氩气流量自动控制，氩气压力不足时，将发出语音提示和声光报警，并停止输出；</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17、双极、单极自动转换；</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18、氩气治疗电极与高频电输出电极相互独立，防止误操作；</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19、无风扇全封闭式机箱（提供实物照片）；</w:t>
      </w:r>
    </w:p>
    <w:p>
      <w:pPr>
        <w:pStyle w:val="76"/>
        <w:numPr>
          <w:ilvl w:val="1"/>
          <w:numId w:val="0"/>
        </w:numPr>
        <w:tabs>
          <w:tab w:val="left" w:pos="1440"/>
        </w:tabs>
        <w:spacing w:before="156" w:after="156" w:line="360" w:lineRule="auto"/>
        <w:ind w:firstLine="240" w:firstLineChars="100"/>
        <w:rPr>
          <w:rFonts w:cs="宋体"/>
          <w:b w:val="0"/>
          <w:bCs/>
        </w:rPr>
      </w:pPr>
      <w:r>
        <w:rPr>
          <w:rFonts w:hint="eastAsia" w:cs="宋体"/>
          <w:b w:val="0"/>
          <w:bCs/>
        </w:rPr>
        <w:t>20、具有精细切割功能，输出功率以1W和5W步进调节。</w:t>
      </w:r>
    </w:p>
    <w:p>
      <w:pPr>
        <w:pStyle w:val="76"/>
        <w:numPr>
          <w:ilvl w:val="1"/>
          <w:numId w:val="0"/>
        </w:numPr>
        <w:tabs>
          <w:tab w:val="left" w:pos="1440"/>
        </w:tabs>
        <w:spacing w:before="156" w:after="156" w:line="360" w:lineRule="auto"/>
        <w:ind w:firstLine="241" w:firstLineChars="100"/>
        <w:rPr>
          <w:rFonts w:cs="宋体"/>
        </w:rPr>
      </w:pPr>
      <w:r>
        <w:rPr>
          <w:rFonts w:hint="eastAsia" w:cs="宋体"/>
        </w:rPr>
        <w:t>5、清洗工作站，一套</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28"/>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序号</w:t>
            </w:r>
          </w:p>
        </w:tc>
        <w:tc>
          <w:tcPr>
            <w:tcW w:w="2028" w:type="dxa"/>
            <w:shd w:val="clear" w:color="auto" w:fill="auto"/>
            <w:vAlign w:val="center"/>
          </w:tcPr>
          <w:p>
            <w:pPr>
              <w:jc w:val="center"/>
              <w:rPr>
                <w:rFonts w:ascii="宋体" w:hAnsi="宋体" w:cs="宋体"/>
                <w:sz w:val="24"/>
              </w:rPr>
            </w:pPr>
            <w:r>
              <w:rPr>
                <w:rFonts w:hint="eastAsia" w:ascii="宋体" w:hAnsi="宋体" w:cs="宋体"/>
                <w:sz w:val="24"/>
              </w:rPr>
              <w:t>项目</w:t>
            </w:r>
          </w:p>
        </w:tc>
        <w:tc>
          <w:tcPr>
            <w:tcW w:w="6430" w:type="dxa"/>
            <w:vAlign w:val="center"/>
          </w:tcPr>
          <w:p>
            <w:pPr>
              <w:jc w:val="center"/>
              <w:rPr>
                <w:rFonts w:ascii="宋体" w:hAnsi="宋体" w:cs="宋体"/>
                <w:sz w:val="24"/>
              </w:rPr>
            </w:pPr>
            <w:r>
              <w:rPr>
                <w:rFonts w:hint="eastAsia" w:ascii="宋体" w:hAnsi="宋体" w:cs="宋体"/>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1</w:t>
            </w:r>
          </w:p>
        </w:tc>
        <w:tc>
          <w:tcPr>
            <w:tcW w:w="2028" w:type="dxa"/>
            <w:shd w:val="clear" w:color="auto" w:fill="auto"/>
            <w:vAlign w:val="center"/>
          </w:tcPr>
          <w:p>
            <w:pPr>
              <w:rPr>
                <w:rFonts w:ascii="宋体" w:hAnsi="宋体" w:cs="宋体"/>
                <w:sz w:val="24"/>
              </w:rPr>
            </w:pPr>
            <w:r>
              <w:rPr>
                <w:rFonts w:hint="eastAsia" w:ascii="宋体" w:hAnsi="宋体" w:cs="宋体"/>
                <w:sz w:val="24"/>
              </w:rPr>
              <w:t>消毒液箱容量</w:t>
            </w:r>
          </w:p>
        </w:tc>
        <w:tc>
          <w:tcPr>
            <w:tcW w:w="6430" w:type="dxa"/>
            <w:vAlign w:val="center"/>
          </w:tcPr>
          <w:p>
            <w:pPr>
              <w:rPr>
                <w:rFonts w:ascii="宋体" w:hAnsi="宋体" w:cs="宋体"/>
                <w:sz w:val="24"/>
              </w:rPr>
            </w:pPr>
            <w:r>
              <w:rPr>
                <w:rFonts w:hint="eastAsia" w:ascii="宋体" w:hAnsi="宋体" w:cs="宋体"/>
                <w:sz w:val="24"/>
              </w:rPr>
              <w:t>12升；</w:t>
            </w:r>
          </w:p>
        </w:tc>
      </w:tr>
      <w:tr>
        <w:tblPrEx>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2</w:t>
            </w:r>
          </w:p>
        </w:tc>
        <w:tc>
          <w:tcPr>
            <w:tcW w:w="2028" w:type="dxa"/>
            <w:shd w:val="clear" w:color="auto" w:fill="auto"/>
            <w:vAlign w:val="center"/>
          </w:tcPr>
          <w:p>
            <w:pPr>
              <w:rPr>
                <w:rFonts w:ascii="宋体" w:hAnsi="宋体" w:cs="宋体"/>
                <w:sz w:val="24"/>
              </w:rPr>
            </w:pPr>
            <w:r>
              <w:rPr>
                <w:rFonts w:hint="eastAsia" w:ascii="宋体" w:hAnsi="宋体" w:cs="宋体"/>
                <w:sz w:val="24"/>
              </w:rPr>
              <w:t>适酶储存箱容量</w:t>
            </w:r>
          </w:p>
        </w:tc>
        <w:tc>
          <w:tcPr>
            <w:tcW w:w="6430" w:type="dxa"/>
            <w:vAlign w:val="center"/>
          </w:tcPr>
          <w:p>
            <w:pPr>
              <w:rPr>
                <w:rFonts w:ascii="宋体" w:hAnsi="宋体" w:cs="宋体"/>
                <w:sz w:val="24"/>
              </w:rPr>
            </w:pPr>
            <w:r>
              <w:rPr>
                <w:rFonts w:hint="eastAsia" w:ascii="宋体" w:hAnsi="宋体" w:cs="宋体"/>
                <w:sz w:val="24"/>
              </w:rPr>
              <w:t>1.7升；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3</w:t>
            </w:r>
          </w:p>
        </w:tc>
        <w:tc>
          <w:tcPr>
            <w:tcW w:w="2028" w:type="dxa"/>
            <w:shd w:val="clear" w:color="auto" w:fill="auto"/>
            <w:vAlign w:val="center"/>
          </w:tcPr>
          <w:p>
            <w:pPr>
              <w:rPr>
                <w:rFonts w:ascii="宋体" w:hAnsi="宋体" w:cs="宋体"/>
                <w:sz w:val="24"/>
              </w:rPr>
            </w:pPr>
            <w:r>
              <w:rPr>
                <w:rFonts w:hint="eastAsia" w:ascii="宋体" w:hAnsi="宋体" w:cs="宋体"/>
                <w:sz w:val="24"/>
              </w:rPr>
              <w:t>酒精储存箱容量</w:t>
            </w:r>
          </w:p>
        </w:tc>
        <w:tc>
          <w:tcPr>
            <w:tcW w:w="6430" w:type="dxa"/>
            <w:vAlign w:val="center"/>
          </w:tcPr>
          <w:p>
            <w:pPr>
              <w:rPr>
                <w:rFonts w:ascii="宋体" w:hAnsi="宋体" w:cs="宋体"/>
                <w:sz w:val="24"/>
                <w:highlight w:val="green"/>
              </w:rPr>
            </w:pPr>
            <w:r>
              <w:rPr>
                <w:rFonts w:hint="eastAsia" w:ascii="宋体" w:hAnsi="宋体" w:cs="宋体"/>
                <w:sz w:val="24"/>
              </w:rPr>
              <w:t>1.7升；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4</w:t>
            </w:r>
          </w:p>
        </w:tc>
        <w:tc>
          <w:tcPr>
            <w:tcW w:w="2028" w:type="dxa"/>
            <w:shd w:val="clear" w:color="auto" w:fill="auto"/>
            <w:vAlign w:val="center"/>
          </w:tcPr>
          <w:p>
            <w:pPr>
              <w:rPr>
                <w:rFonts w:ascii="宋体" w:hAnsi="宋体" w:cs="宋体"/>
                <w:sz w:val="24"/>
              </w:rPr>
            </w:pPr>
            <w:r>
              <w:rPr>
                <w:rFonts w:hint="eastAsia" w:ascii="宋体" w:hAnsi="宋体" w:cs="宋体"/>
                <w:sz w:val="24"/>
              </w:rPr>
              <w:t>消毒液用量</w:t>
            </w:r>
          </w:p>
        </w:tc>
        <w:tc>
          <w:tcPr>
            <w:tcW w:w="6430" w:type="dxa"/>
            <w:vAlign w:val="center"/>
          </w:tcPr>
          <w:p>
            <w:pPr>
              <w:rPr>
                <w:rFonts w:ascii="宋体" w:hAnsi="宋体" w:cs="宋体"/>
                <w:sz w:val="24"/>
              </w:rPr>
            </w:pPr>
            <w:r>
              <w:rPr>
                <w:rFonts w:hint="eastAsia" w:ascii="宋体" w:hAnsi="宋体" w:cs="宋体"/>
                <w:sz w:val="24"/>
              </w:rPr>
              <w:t>10升；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5</w:t>
            </w:r>
          </w:p>
        </w:tc>
        <w:tc>
          <w:tcPr>
            <w:tcW w:w="2028" w:type="dxa"/>
            <w:shd w:val="clear" w:color="auto" w:fill="auto"/>
            <w:vAlign w:val="center"/>
          </w:tcPr>
          <w:p>
            <w:pPr>
              <w:rPr>
                <w:rFonts w:ascii="宋体" w:hAnsi="宋体" w:cs="宋体"/>
                <w:sz w:val="24"/>
              </w:rPr>
            </w:pPr>
            <w:r>
              <w:rPr>
                <w:rFonts w:hint="eastAsia" w:ascii="宋体" w:hAnsi="宋体" w:cs="宋体"/>
                <w:sz w:val="24"/>
              </w:rPr>
              <w:t>适酶用量</w:t>
            </w:r>
          </w:p>
        </w:tc>
        <w:tc>
          <w:tcPr>
            <w:tcW w:w="6430" w:type="dxa"/>
            <w:vAlign w:val="center"/>
          </w:tcPr>
          <w:p>
            <w:pPr>
              <w:rPr>
                <w:rFonts w:ascii="宋体" w:hAnsi="宋体" w:cs="宋体"/>
                <w:sz w:val="24"/>
              </w:rPr>
            </w:pPr>
            <w:r>
              <w:rPr>
                <w:rFonts w:hint="eastAsia" w:ascii="宋体" w:hAnsi="宋体" w:cs="宋体"/>
                <w:sz w:val="24"/>
              </w:rPr>
              <w:t>可依需要自行设置；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6</w:t>
            </w:r>
          </w:p>
        </w:tc>
        <w:tc>
          <w:tcPr>
            <w:tcW w:w="2028" w:type="dxa"/>
            <w:shd w:val="clear" w:color="auto" w:fill="auto"/>
            <w:vAlign w:val="center"/>
          </w:tcPr>
          <w:p>
            <w:pPr>
              <w:rPr>
                <w:rFonts w:ascii="宋体" w:hAnsi="宋体" w:cs="宋体"/>
                <w:sz w:val="24"/>
              </w:rPr>
            </w:pPr>
            <w:r>
              <w:rPr>
                <w:rFonts w:hint="eastAsia" w:ascii="宋体" w:hAnsi="宋体" w:cs="宋体"/>
                <w:sz w:val="24"/>
              </w:rPr>
              <w:t>酒精用量</w:t>
            </w:r>
          </w:p>
        </w:tc>
        <w:tc>
          <w:tcPr>
            <w:tcW w:w="6430" w:type="dxa"/>
            <w:vAlign w:val="center"/>
          </w:tcPr>
          <w:p>
            <w:pPr>
              <w:rPr>
                <w:rFonts w:ascii="宋体" w:hAnsi="宋体" w:cs="宋体"/>
                <w:sz w:val="24"/>
              </w:rPr>
            </w:pPr>
            <w:r>
              <w:rPr>
                <w:rFonts w:hint="eastAsia" w:ascii="宋体" w:hAnsi="宋体" w:cs="宋体"/>
                <w:sz w:val="24"/>
              </w:rPr>
              <w:t>依用户要求装机时设置，自动喷射内镜管道并吹干；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7</w:t>
            </w:r>
          </w:p>
        </w:tc>
        <w:tc>
          <w:tcPr>
            <w:tcW w:w="2028" w:type="dxa"/>
            <w:shd w:val="clear" w:color="auto" w:fill="auto"/>
            <w:vAlign w:val="center"/>
          </w:tcPr>
          <w:p>
            <w:pPr>
              <w:rPr>
                <w:rFonts w:ascii="宋体" w:hAnsi="宋体" w:cs="宋体"/>
                <w:sz w:val="24"/>
              </w:rPr>
            </w:pPr>
            <w:r>
              <w:rPr>
                <w:rFonts w:hint="eastAsia" w:ascii="宋体" w:hAnsi="宋体" w:cs="宋体"/>
                <w:sz w:val="24"/>
              </w:rPr>
              <w:t>测漏装置</w:t>
            </w:r>
          </w:p>
        </w:tc>
        <w:tc>
          <w:tcPr>
            <w:tcW w:w="6430" w:type="dxa"/>
            <w:vAlign w:val="center"/>
          </w:tcPr>
          <w:p>
            <w:pPr>
              <w:rPr>
                <w:rFonts w:ascii="宋体" w:hAnsi="宋体" w:cs="宋体"/>
                <w:sz w:val="24"/>
              </w:rPr>
            </w:pPr>
            <w:r>
              <w:rPr>
                <w:rFonts w:hint="eastAsia" w:ascii="宋体" w:hAnsi="宋体" w:cs="宋体"/>
                <w:sz w:val="24"/>
              </w:rPr>
              <w:t>全程实施测漏监控，漏气报警；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8</w:t>
            </w:r>
          </w:p>
        </w:tc>
        <w:tc>
          <w:tcPr>
            <w:tcW w:w="2028" w:type="dxa"/>
            <w:shd w:val="clear" w:color="auto" w:fill="auto"/>
            <w:vAlign w:val="center"/>
          </w:tcPr>
          <w:p>
            <w:pPr>
              <w:rPr>
                <w:rFonts w:ascii="宋体" w:hAnsi="宋体" w:cs="宋体"/>
                <w:sz w:val="24"/>
              </w:rPr>
            </w:pPr>
            <w:r>
              <w:rPr>
                <w:rFonts w:hint="eastAsia" w:ascii="宋体" w:hAnsi="宋体" w:cs="宋体"/>
                <w:sz w:val="24"/>
              </w:rPr>
              <w:t>消毒次数记录</w:t>
            </w:r>
          </w:p>
        </w:tc>
        <w:tc>
          <w:tcPr>
            <w:tcW w:w="6430" w:type="dxa"/>
            <w:vAlign w:val="center"/>
          </w:tcPr>
          <w:p>
            <w:pPr>
              <w:rPr>
                <w:rFonts w:ascii="宋体" w:hAnsi="宋体" w:cs="宋体"/>
                <w:sz w:val="24"/>
              </w:rPr>
            </w:pPr>
            <w:r>
              <w:rPr>
                <w:rFonts w:hint="eastAsia" w:ascii="宋体" w:hAnsi="宋体" w:cs="宋体"/>
                <w:sz w:val="24"/>
              </w:rPr>
              <w:t>每完成一次消毒，微电脑自动计入，屏上显示；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9</w:t>
            </w:r>
          </w:p>
        </w:tc>
        <w:tc>
          <w:tcPr>
            <w:tcW w:w="2028" w:type="dxa"/>
            <w:shd w:val="clear" w:color="auto" w:fill="auto"/>
            <w:vAlign w:val="center"/>
          </w:tcPr>
          <w:p>
            <w:pPr>
              <w:rPr>
                <w:rFonts w:ascii="宋体" w:hAnsi="宋体" w:cs="宋体"/>
                <w:sz w:val="24"/>
              </w:rPr>
            </w:pPr>
            <w:r>
              <w:rPr>
                <w:rFonts w:hint="eastAsia" w:ascii="宋体" w:hAnsi="宋体" w:cs="宋体"/>
                <w:sz w:val="24"/>
              </w:rPr>
              <w:t>消毒时间</w:t>
            </w:r>
          </w:p>
        </w:tc>
        <w:tc>
          <w:tcPr>
            <w:tcW w:w="6430" w:type="dxa"/>
            <w:vAlign w:val="center"/>
          </w:tcPr>
          <w:p>
            <w:pPr>
              <w:rPr>
                <w:rFonts w:ascii="宋体" w:hAnsi="宋体" w:cs="宋体"/>
                <w:sz w:val="24"/>
              </w:rPr>
            </w:pPr>
            <w:r>
              <w:rPr>
                <w:rFonts w:hint="eastAsia" w:ascii="宋体" w:hAnsi="宋体" w:cs="宋体"/>
                <w:sz w:val="24"/>
              </w:rPr>
              <w:t>戊二醛：温度≥43℃时，全程≥10分钟；恒温≥23℃时，全程≥18分钟；邻苯二甲醛：恒温≥23℃时，全程≥10分钟；酸性氧化电位水：全程≥10分钟；过氧乙酸：全程≥10分钟；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10</w:t>
            </w:r>
          </w:p>
        </w:tc>
        <w:tc>
          <w:tcPr>
            <w:tcW w:w="2028" w:type="dxa"/>
            <w:shd w:val="clear" w:color="auto" w:fill="auto"/>
            <w:vAlign w:val="center"/>
          </w:tcPr>
          <w:p>
            <w:pPr>
              <w:rPr>
                <w:rFonts w:ascii="宋体" w:hAnsi="宋体" w:cs="宋体"/>
                <w:sz w:val="24"/>
              </w:rPr>
            </w:pPr>
            <w:r>
              <w:rPr>
                <w:rFonts w:hint="eastAsia" w:ascii="宋体" w:hAnsi="宋体" w:cs="宋体"/>
                <w:sz w:val="24"/>
              </w:rPr>
              <w:t>消毒质量保证</w:t>
            </w:r>
          </w:p>
          <w:p>
            <w:pPr>
              <w:rPr>
                <w:rFonts w:ascii="宋体" w:hAnsi="宋体" w:cs="宋体"/>
                <w:sz w:val="24"/>
              </w:rPr>
            </w:pPr>
            <w:r>
              <w:rPr>
                <w:rFonts w:hint="eastAsia" w:ascii="宋体" w:hAnsi="宋体" w:cs="宋体"/>
                <w:sz w:val="24"/>
              </w:rPr>
              <w:t>和恒温控制装置</w:t>
            </w:r>
          </w:p>
        </w:tc>
        <w:tc>
          <w:tcPr>
            <w:tcW w:w="6430" w:type="dxa"/>
            <w:vAlign w:val="center"/>
          </w:tcPr>
          <w:p>
            <w:pPr>
              <w:rPr>
                <w:rFonts w:ascii="宋体" w:hAnsi="宋体" w:cs="宋体"/>
                <w:sz w:val="24"/>
              </w:rPr>
            </w:pPr>
            <w:r>
              <w:rPr>
                <w:rFonts w:hint="eastAsia" w:ascii="宋体" w:hAnsi="宋体" w:cs="宋体"/>
                <w:sz w:val="24"/>
              </w:rPr>
              <w:t>消毒液不足和机器有故障自动报警，并显示故障内容；温度没有达到要求，机器强制暂停启动；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11</w:t>
            </w:r>
          </w:p>
        </w:tc>
        <w:tc>
          <w:tcPr>
            <w:tcW w:w="2028" w:type="dxa"/>
            <w:shd w:val="clear" w:color="auto" w:fill="auto"/>
            <w:vAlign w:val="center"/>
          </w:tcPr>
          <w:p>
            <w:pPr>
              <w:rPr>
                <w:rFonts w:ascii="宋体" w:hAnsi="宋体" w:cs="宋体"/>
                <w:sz w:val="24"/>
              </w:rPr>
            </w:pPr>
            <w:r>
              <w:rPr>
                <w:rFonts w:hint="eastAsia" w:ascii="宋体" w:hAnsi="宋体" w:cs="宋体"/>
                <w:sz w:val="24"/>
              </w:rPr>
              <w:t>消毒液添加、</w:t>
            </w:r>
          </w:p>
          <w:p>
            <w:pPr>
              <w:rPr>
                <w:rFonts w:ascii="宋体" w:hAnsi="宋体" w:cs="宋体"/>
                <w:sz w:val="24"/>
              </w:rPr>
            </w:pPr>
            <w:r>
              <w:rPr>
                <w:rFonts w:hint="eastAsia" w:ascii="宋体" w:hAnsi="宋体" w:cs="宋体"/>
                <w:sz w:val="24"/>
              </w:rPr>
              <w:t>排放</w:t>
            </w:r>
          </w:p>
        </w:tc>
        <w:tc>
          <w:tcPr>
            <w:tcW w:w="6430" w:type="dxa"/>
            <w:vAlign w:val="center"/>
          </w:tcPr>
          <w:p>
            <w:pPr>
              <w:rPr>
                <w:rFonts w:ascii="宋体" w:hAnsi="宋体" w:cs="宋体"/>
                <w:sz w:val="24"/>
              </w:rPr>
            </w:pPr>
            <w:r>
              <w:rPr>
                <w:rFonts w:hint="eastAsia" w:ascii="宋体" w:hAnsi="宋体" w:cs="宋体"/>
                <w:sz w:val="24"/>
              </w:rPr>
              <w:t>自吸、自排；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12</w:t>
            </w:r>
          </w:p>
        </w:tc>
        <w:tc>
          <w:tcPr>
            <w:tcW w:w="2028" w:type="dxa"/>
            <w:shd w:val="clear" w:color="auto" w:fill="auto"/>
            <w:vAlign w:val="center"/>
          </w:tcPr>
          <w:p>
            <w:pPr>
              <w:rPr>
                <w:rFonts w:ascii="宋体" w:hAnsi="宋体" w:cs="宋体"/>
                <w:sz w:val="24"/>
              </w:rPr>
            </w:pPr>
            <w:r>
              <w:rPr>
                <w:rFonts w:hint="eastAsia" w:ascii="宋体" w:hAnsi="宋体" w:cs="宋体"/>
                <w:sz w:val="24"/>
              </w:rPr>
              <w:t>电动开、关机盖</w:t>
            </w:r>
          </w:p>
        </w:tc>
        <w:tc>
          <w:tcPr>
            <w:tcW w:w="6430" w:type="dxa"/>
            <w:vAlign w:val="center"/>
          </w:tcPr>
          <w:p>
            <w:pPr>
              <w:rPr>
                <w:rFonts w:ascii="宋体" w:hAnsi="宋体" w:cs="宋体"/>
                <w:sz w:val="24"/>
                <w:highlight w:val="green"/>
              </w:rPr>
            </w:pPr>
            <w:r>
              <w:rPr>
                <w:rFonts w:hint="eastAsia" w:ascii="宋体" w:hAnsi="宋体" w:cs="宋体"/>
                <w:sz w:val="24"/>
              </w:rPr>
              <w:t>避免手动开盖后取内镜时产生二次污染；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13</w:t>
            </w:r>
          </w:p>
        </w:tc>
        <w:tc>
          <w:tcPr>
            <w:tcW w:w="2028" w:type="dxa"/>
            <w:shd w:val="clear" w:color="auto" w:fill="auto"/>
            <w:vAlign w:val="center"/>
          </w:tcPr>
          <w:p>
            <w:pPr>
              <w:rPr>
                <w:rFonts w:ascii="宋体" w:hAnsi="宋体" w:cs="宋体"/>
                <w:sz w:val="24"/>
              </w:rPr>
            </w:pPr>
            <w:r>
              <w:rPr>
                <w:rFonts w:hint="eastAsia" w:ascii="宋体" w:hAnsi="宋体" w:cs="宋体"/>
                <w:sz w:val="24"/>
              </w:rPr>
              <w:t>噪音</w:t>
            </w:r>
          </w:p>
        </w:tc>
        <w:tc>
          <w:tcPr>
            <w:tcW w:w="6430" w:type="dxa"/>
            <w:vAlign w:val="center"/>
          </w:tcPr>
          <w:p>
            <w:pPr>
              <w:rPr>
                <w:rFonts w:ascii="宋体" w:hAnsi="宋体" w:cs="宋体"/>
                <w:sz w:val="24"/>
              </w:rPr>
            </w:pPr>
            <w:r>
              <w:rPr>
                <w:rFonts w:hint="eastAsia" w:ascii="宋体" w:hAnsi="宋体" w:cs="宋体"/>
                <w:sz w:val="24"/>
              </w:rPr>
              <w:t>≤75db（A）（风干工作时）；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14</w:t>
            </w:r>
          </w:p>
        </w:tc>
        <w:tc>
          <w:tcPr>
            <w:tcW w:w="2028" w:type="dxa"/>
            <w:shd w:val="clear" w:color="auto" w:fill="auto"/>
            <w:vAlign w:val="center"/>
          </w:tcPr>
          <w:p>
            <w:pPr>
              <w:rPr>
                <w:rFonts w:ascii="宋体" w:hAnsi="宋体" w:cs="宋体"/>
                <w:sz w:val="24"/>
              </w:rPr>
            </w:pPr>
            <w:r>
              <w:rPr>
                <w:rFonts w:hint="eastAsia" w:ascii="宋体" w:hAnsi="宋体" w:cs="宋体"/>
                <w:sz w:val="24"/>
              </w:rPr>
              <w:t>环境温度</w:t>
            </w:r>
          </w:p>
        </w:tc>
        <w:tc>
          <w:tcPr>
            <w:tcW w:w="6430" w:type="dxa"/>
            <w:vAlign w:val="center"/>
          </w:tcPr>
          <w:p>
            <w:pPr>
              <w:rPr>
                <w:rFonts w:ascii="宋体" w:hAnsi="宋体" w:cs="宋体"/>
                <w:sz w:val="24"/>
              </w:rPr>
            </w:pPr>
            <w:r>
              <w:rPr>
                <w:rFonts w:hint="eastAsia" w:ascii="宋体" w:hAnsi="宋体" w:cs="宋体"/>
                <w:sz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15</w:t>
            </w:r>
          </w:p>
        </w:tc>
        <w:tc>
          <w:tcPr>
            <w:tcW w:w="2028" w:type="dxa"/>
            <w:shd w:val="clear" w:color="auto" w:fill="auto"/>
            <w:vAlign w:val="center"/>
          </w:tcPr>
          <w:p>
            <w:pPr>
              <w:rPr>
                <w:rFonts w:ascii="宋体" w:hAnsi="宋体" w:cs="宋体"/>
                <w:sz w:val="24"/>
              </w:rPr>
            </w:pPr>
            <w:r>
              <w:rPr>
                <w:rFonts w:hint="eastAsia" w:ascii="宋体" w:hAnsi="宋体" w:cs="宋体"/>
                <w:sz w:val="24"/>
              </w:rPr>
              <w:t>消毒效果</w:t>
            </w:r>
          </w:p>
        </w:tc>
        <w:tc>
          <w:tcPr>
            <w:tcW w:w="6430" w:type="dxa"/>
            <w:vAlign w:val="center"/>
          </w:tcPr>
          <w:p>
            <w:pPr>
              <w:rPr>
                <w:rFonts w:ascii="宋体" w:hAnsi="宋体" w:cs="宋体"/>
                <w:sz w:val="24"/>
              </w:rPr>
            </w:pPr>
            <w:r>
              <w:rPr>
                <w:rFonts w:hint="eastAsia" w:ascii="宋体" w:hAnsi="宋体" w:cs="宋体"/>
                <w:sz w:val="24"/>
              </w:rPr>
              <w:t>对枯草菌黑色变种芽孢的消除对数值均应≥3.00；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16</w:t>
            </w:r>
          </w:p>
        </w:tc>
        <w:tc>
          <w:tcPr>
            <w:tcW w:w="2028" w:type="dxa"/>
            <w:shd w:val="clear" w:color="auto" w:fill="auto"/>
            <w:vAlign w:val="center"/>
          </w:tcPr>
          <w:p>
            <w:pPr>
              <w:rPr>
                <w:rFonts w:ascii="宋体" w:hAnsi="宋体" w:cs="宋体"/>
                <w:sz w:val="24"/>
              </w:rPr>
            </w:pPr>
            <w:r>
              <w:rPr>
                <w:rFonts w:hint="eastAsia" w:ascii="宋体" w:hAnsi="宋体" w:cs="宋体"/>
                <w:sz w:val="24"/>
              </w:rPr>
              <w:t>自身消毒</w:t>
            </w:r>
          </w:p>
        </w:tc>
        <w:tc>
          <w:tcPr>
            <w:tcW w:w="6430" w:type="dxa"/>
            <w:vAlign w:val="center"/>
          </w:tcPr>
          <w:p>
            <w:pPr>
              <w:rPr>
                <w:rFonts w:ascii="宋体" w:hAnsi="宋体" w:cs="宋体"/>
                <w:sz w:val="24"/>
              </w:rPr>
            </w:pPr>
            <w:r>
              <w:rPr>
                <w:rFonts w:hint="eastAsia" w:ascii="宋体" w:hAnsi="宋体" w:cs="宋体"/>
                <w:sz w:val="24"/>
              </w:rPr>
              <w:t>避免二次感染；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17</w:t>
            </w:r>
          </w:p>
        </w:tc>
        <w:tc>
          <w:tcPr>
            <w:tcW w:w="2028" w:type="dxa"/>
            <w:shd w:val="clear" w:color="auto" w:fill="auto"/>
            <w:vAlign w:val="center"/>
          </w:tcPr>
          <w:p>
            <w:pPr>
              <w:rPr>
                <w:rFonts w:ascii="宋体" w:hAnsi="宋体" w:cs="宋体"/>
                <w:color w:val="000000"/>
                <w:sz w:val="24"/>
              </w:rPr>
            </w:pPr>
            <w:r>
              <w:rPr>
                <w:rFonts w:hint="eastAsia" w:ascii="宋体" w:hAnsi="宋体" w:cs="宋体"/>
                <w:color w:val="000000"/>
                <w:sz w:val="24"/>
              </w:rPr>
              <w:t>打印功能</w:t>
            </w:r>
          </w:p>
        </w:tc>
        <w:tc>
          <w:tcPr>
            <w:tcW w:w="6430" w:type="dxa"/>
            <w:vAlign w:val="center"/>
          </w:tcPr>
          <w:p>
            <w:pPr>
              <w:rPr>
                <w:rFonts w:ascii="宋体" w:hAnsi="宋体" w:cs="宋体"/>
                <w:color w:val="000000"/>
                <w:sz w:val="24"/>
              </w:rPr>
            </w:pPr>
            <w:r>
              <w:rPr>
                <w:rFonts w:hint="eastAsia" w:ascii="宋体" w:hAnsi="宋体" w:cs="宋体"/>
                <w:color w:val="000000"/>
                <w:sz w:val="24"/>
              </w:rPr>
              <w:t>消毒结果自动打印；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0"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18</w:t>
            </w:r>
          </w:p>
        </w:tc>
        <w:tc>
          <w:tcPr>
            <w:tcW w:w="2028" w:type="dxa"/>
            <w:shd w:val="clear" w:color="auto" w:fill="auto"/>
            <w:vAlign w:val="center"/>
          </w:tcPr>
          <w:p>
            <w:pPr>
              <w:rPr>
                <w:rFonts w:ascii="宋体" w:hAnsi="宋体" w:cs="宋体"/>
                <w:color w:val="000000"/>
                <w:sz w:val="24"/>
              </w:rPr>
            </w:pPr>
            <w:r>
              <w:rPr>
                <w:rFonts w:hint="eastAsia" w:ascii="宋体" w:hAnsi="宋体" w:cs="宋体"/>
                <w:color w:val="000000"/>
                <w:sz w:val="24"/>
              </w:rPr>
              <w:t>外形尺寸（占用空间小）</w:t>
            </w:r>
          </w:p>
        </w:tc>
        <w:tc>
          <w:tcPr>
            <w:tcW w:w="6430" w:type="dxa"/>
            <w:vAlign w:val="center"/>
          </w:tcPr>
          <w:p>
            <w:pPr>
              <w:rPr>
                <w:rFonts w:ascii="宋体" w:hAnsi="宋体" w:cs="宋体"/>
                <w:color w:val="000000"/>
                <w:sz w:val="24"/>
              </w:rPr>
            </w:pPr>
            <w:r>
              <w:rPr>
                <w:rFonts w:hint="eastAsia" w:ascii="宋体" w:hAnsi="宋体" w:cs="宋体"/>
                <w:color w:val="000000"/>
                <w:sz w:val="24"/>
              </w:rPr>
              <w:t>宽</w:t>
            </w:r>
            <w:r>
              <w:rPr>
                <w:rFonts w:hint="eastAsia" w:ascii="宋体" w:hAnsi="宋体" w:cs="宋体"/>
                <w:sz w:val="24"/>
              </w:rPr>
              <w:t>≤</w:t>
            </w:r>
            <w:r>
              <w:rPr>
                <w:rFonts w:hint="eastAsia" w:ascii="宋体" w:hAnsi="宋体" w:cs="宋体"/>
                <w:color w:val="000000"/>
                <w:sz w:val="24"/>
              </w:rPr>
              <w:t>445mm、深（前后尺寸）</w:t>
            </w:r>
            <w:r>
              <w:rPr>
                <w:rFonts w:hint="eastAsia" w:ascii="宋体" w:hAnsi="宋体" w:cs="宋体"/>
                <w:sz w:val="24"/>
              </w:rPr>
              <w:t>≤</w:t>
            </w:r>
            <w:r>
              <w:rPr>
                <w:rFonts w:hint="eastAsia" w:ascii="宋体" w:hAnsi="宋体" w:cs="宋体"/>
                <w:color w:val="000000"/>
                <w:sz w:val="24"/>
              </w:rPr>
              <w:t>655mm、高</w:t>
            </w:r>
            <w:r>
              <w:rPr>
                <w:rFonts w:hint="eastAsia" w:ascii="宋体" w:hAnsi="宋体" w:cs="宋体"/>
                <w:sz w:val="24"/>
              </w:rPr>
              <w:t>≤</w:t>
            </w:r>
            <w:r>
              <w:rPr>
                <w:rFonts w:hint="eastAsia" w:ascii="宋体" w:hAnsi="宋体" w:cs="宋体"/>
                <w:color w:val="000000"/>
                <w:sz w:val="24"/>
              </w:rPr>
              <w:t>930mm；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0"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19</w:t>
            </w:r>
          </w:p>
        </w:tc>
        <w:tc>
          <w:tcPr>
            <w:tcW w:w="2028" w:type="dxa"/>
            <w:shd w:val="clear" w:color="auto" w:fill="auto"/>
            <w:vAlign w:val="center"/>
          </w:tcPr>
          <w:p>
            <w:pPr>
              <w:rPr>
                <w:rFonts w:ascii="宋体" w:hAnsi="宋体" w:cs="宋体"/>
                <w:color w:val="000000"/>
                <w:sz w:val="24"/>
              </w:rPr>
            </w:pPr>
            <w:r>
              <w:rPr>
                <w:rFonts w:hint="eastAsia" w:ascii="宋体" w:hAnsi="宋体" w:cs="宋体"/>
                <w:color w:val="000000"/>
                <w:sz w:val="24"/>
              </w:rPr>
              <w:t>洗消槽尺寸（空间大）</w:t>
            </w:r>
          </w:p>
        </w:tc>
        <w:tc>
          <w:tcPr>
            <w:tcW w:w="6430" w:type="dxa"/>
            <w:vAlign w:val="center"/>
          </w:tcPr>
          <w:p>
            <w:pPr>
              <w:rPr>
                <w:rFonts w:ascii="宋体" w:hAnsi="宋体" w:cs="宋体"/>
                <w:color w:val="000000"/>
                <w:sz w:val="24"/>
              </w:rPr>
            </w:pPr>
            <w:r>
              <w:rPr>
                <w:rFonts w:hint="eastAsia" w:ascii="宋体" w:hAnsi="宋体" w:cs="宋体"/>
                <w:color w:val="000000"/>
                <w:sz w:val="24"/>
              </w:rPr>
              <w:t>宽≤385mm、深（前后尺寸）≤505mm；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0"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20</w:t>
            </w:r>
          </w:p>
        </w:tc>
        <w:tc>
          <w:tcPr>
            <w:tcW w:w="2028" w:type="dxa"/>
            <w:shd w:val="clear" w:color="auto" w:fill="auto"/>
            <w:vAlign w:val="center"/>
          </w:tcPr>
          <w:p>
            <w:pPr>
              <w:rPr>
                <w:rFonts w:ascii="宋体" w:hAnsi="宋体" w:cs="宋体"/>
                <w:color w:val="000000"/>
                <w:sz w:val="24"/>
              </w:rPr>
            </w:pPr>
            <w:r>
              <w:rPr>
                <w:rFonts w:hint="eastAsia" w:ascii="宋体" w:hAnsi="宋体" w:cs="宋体"/>
                <w:color w:val="000000"/>
                <w:sz w:val="24"/>
              </w:rPr>
              <w:t>主要配置</w:t>
            </w:r>
          </w:p>
        </w:tc>
        <w:tc>
          <w:tcPr>
            <w:tcW w:w="6430" w:type="dxa"/>
            <w:vAlign w:val="center"/>
          </w:tcPr>
          <w:p>
            <w:pPr>
              <w:rPr>
                <w:rFonts w:ascii="宋体" w:hAnsi="宋体" w:cs="宋体"/>
                <w:color w:val="000000"/>
                <w:sz w:val="24"/>
              </w:rPr>
            </w:pPr>
            <w:r>
              <w:rPr>
                <w:rFonts w:hint="eastAsia" w:ascii="宋体" w:hAnsi="宋体" w:cs="宋体"/>
                <w:color w:val="000000"/>
                <w:sz w:val="24"/>
              </w:rPr>
              <w:t>主机一台、不锈钢外置水处理一套、</w:t>
            </w:r>
            <w:r>
              <w:rPr>
                <w:rFonts w:hint="eastAsia" w:ascii="宋体" w:hAnsi="宋体" w:cs="宋体"/>
                <w:sz w:val="24"/>
              </w:rPr>
              <w:t>(内置无菌水过滤芯一条)；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21</w:t>
            </w:r>
          </w:p>
        </w:tc>
        <w:tc>
          <w:tcPr>
            <w:tcW w:w="2028" w:type="dxa"/>
            <w:shd w:val="clear" w:color="auto" w:fill="auto"/>
            <w:vAlign w:val="center"/>
          </w:tcPr>
          <w:p>
            <w:pPr>
              <w:rPr>
                <w:rFonts w:ascii="宋体" w:hAnsi="宋体" w:cs="宋体"/>
                <w:color w:val="000000"/>
                <w:sz w:val="24"/>
              </w:rPr>
            </w:pPr>
            <w:r>
              <w:rPr>
                <w:rFonts w:hint="eastAsia" w:ascii="宋体" w:hAnsi="宋体" w:cs="宋体"/>
                <w:color w:val="000000"/>
                <w:sz w:val="24"/>
              </w:rPr>
              <w:t>熔断器的保险管</w:t>
            </w:r>
          </w:p>
        </w:tc>
        <w:tc>
          <w:tcPr>
            <w:tcW w:w="6430" w:type="dxa"/>
            <w:vAlign w:val="center"/>
          </w:tcPr>
          <w:p>
            <w:pPr>
              <w:rPr>
                <w:rFonts w:ascii="宋体" w:hAnsi="宋体" w:cs="宋体"/>
                <w:color w:val="000000"/>
                <w:sz w:val="24"/>
              </w:rPr>
            </w:pPr>
            <w:r>
              <w:rPr>
                <w:rFonts w:hint="eastAsia" w:ascii="宋体" w:hAnsi="宋体" w:cs="宋体"/>
                <w:color w:val="000000"/>
                <w:sz w:val="24"/>
              </w:rPr>
              <w:t>速熔阻燃保险管，规格：6A,6mm×30mm；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shd w:val="clear" w:color="auto" w:fill="auto"/>
            <w:vAlign w:val="center"/>
          </w:tcPr>
          <w:p>
            <w:pPr>
              <w:jc w:val="center"/>
              <w:rPr>
                <w:rFonts w:ascii="宋体" w:hAnsi="宋体" w:cs="宋体"/>
                <w:sz w:val="24"/>
              </w:rPr>
            </w:pPr>
            <w:r>
              <w:rPr>
                <w:rFonts w:hint="eastAsia" w:ascii="宋体" w:hAnsi="宋体" w:cs="宋体"/>
                <w:sz w:val="24"/>
              </w:rPr>
              <w:t>22</w:t>
            </w:r>
          </w:p>
        </w:tc>
        <w:tc>
          <w:tcPr>
            <w:tcW w:w="2028" w:type="dxa"/>
            <w:shd w:val="clear" w:color="auto" w:fill="auto"/>
            <w:vAlign w:val="center"/>
          </w:tcPr>
          <w:p>
            <w:pPr>
              <w:rPr>
                <w:rFonts w:ascii="宋体" w:hAnsi="宋体" w:cs="宋体"/>
                <w:sz w:val="24"/>
              </w:rPr>
            </w:pPr>
            <w:r>
              <w:rPr>
                <w:rFonts w:hint="eastAsia" w:ascii="宋体" w:hAnsi="宋体" w:cs="宋体"/>
                <w:sz w:val="24"/>
              </w:rPr>
              <w:t>消毒液浓度监控</w:t>
            </w:r>
          </w:p>
        </w:tc>
        <w:tc>
          <w:tcPr>
            <w:tcW w:w="6430" w:type="dxa"/>
            <w:vAlign w:val="center"/>
          </w:tcPr>
          <w:p>
            <w:pPr>
              <w:rPr>
                <w:rFonts w:ascii="宋体" w:hAnsi="宋体" w:cs="宋体"/>
                <w:color w:val="000000"/>
                <w:sz w:val="24"/>
              </w:rPr>
            </w:pPr>
            <w:r>
              <w:rPr>
                <w:rFonts w:hint="eastAsia" w:ascii="宋体" w:hAnsi="宋体" w:cs="宋体"/>
                <w:color w:val="000000"/>
                <w:sz w:val="24"/>
              </w:rPr>
              <w:t>可随时检测消毒液的浓度。</w:t>
            </w:r>
          </w:p>
        </w:tc>
      </w:tr>
    </w:tbl>
    <w:p>
      <w:pPr>
        <w:pStyle w:val="76"/>
        <w:numPr>
          <w:ilvl w:val="1"/>
          <w:numId w:val="0"/>
        </w:numPr>
        <w:tabs>
          <w:tab w:val="left" w:pos="1440"/>
        </w:tabs>
        <w:spacing w:before="156" w:after="156" w:line="360" w:lineRule="auto"/>
        <w:ind w:left="210" w:leftChars="100"/>
        <w:rPr>
          <w:rFonts w:cs="宋体"/>
        </w:rPr>
      </w:pPr>
      <w:r>
        <w:rPr>
          <w:rFonts w:hint="eastAsia" w:cs="宋体"/>
        </w:rPr>
        <w:t>6、储镜柜，一台</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紫外线杀菌存放柜1台：</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1、电源电压；220V±22V / 50Hz；</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2、功率；350W；</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 xml:space="preserve">3、环境温度；+5℃ —40℃；                                                                                                                                                                                                                                                                                                                                                                                                                                                                                                                                                                                                                                                                                                             </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4、干燥时间；1—30min（可调）；</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5、消毒时间；1—30min（可调）；</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6、整机外型尺寸；740*560*2140（mm）；</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7、消毒方式：智能化控制循环风消毒系统，消毒时紫外线不直接照射到内镜，避免消毒时对内镜造成老化等损坏；存放柜内空间采用紫外灯管产生的O3气体循环风对柜内存放空间消毒；</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8、控制系统：液晶中文显示，温度、湿度。电脑控制，一键式操作，简单、方便、快捷，工作时间结束自动停止同时带有声音提示功能；</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9、机壳工艺：机壳外部材料采用多工艺处理的钢塑材料。柜门装有大尺寸玻璃窗，可在外部直接观察到柜内的工作状况，外壳与内胆有机的融为一体，柜内空间完全密闭，整体简洁、实用、美观、大方；</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10、内胆工艺：内胆采用优质高分子复合材料独立开模一体成型，易清洁，表面细菌残留量低；对内镜无磨损，耐酸碱、耐腐蚀、抗老化、不泛黄。其材料主要适用于；医疗、实验室、航空、航天等领域；能够有效地保护内镜的安全存放；</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11、储镜量：3-4条软式内镜；</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12、内镜存镜挂把：柜内设计有专用挂把，独立开模制成的内镜悬挂系统，采用垂直式存放，并配有不同的部位固定架，使內镜的插入部、导光部、操作部全方位的定位内镜，防止相互碰撞，并且下部件为可升降式，适应不同尺寸的内镜的存放需要。严格按照《内镜清洗消毒技术操作规范（2016年版）第三章第二十六条中的“镜体应悬挂，弯角固定钮应置于自由位”的规定，保持内镜垂直存放，避免碰撞损伤；</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13、预设功能：可自行预先设定消毒时间，到时间自动启动。更加人性化操作；</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14、工作环境条件：温  度：5-40C\ 湿  度：30-90%\ 大气压：700-1060Kpa；</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15、储存环境条件：温  度：-20-60C\ 湿  度：15-90%\ 大气压：700-1060Kpa。</w:t>
      </w:r>
    </w:p>
    <w:p>
      <w:pPr>
        <w:pStyle w:val="76"/>
        <w:numPr>
          <w:ilvl w:val="1"/>
          <w:numId w:val="0"/>
        </w:numPr>
        <w:tabs>
          <w:tab w:val="left" w:pos="1440"/>
        </w:tabs>
        <w:spacing w:before="156" w:after="156" w:line="360" w:lineRule="auto"/>
        <w:ind w:left="210" w:leftChars="100"/>
        <w:rPr>
          <w:rFonts w:cs="宋体"/>
          <w:bCs/>
        </w:rPr>
      </w:pPr>
      <w:r>
        <w:rPr>
          <w:rFonts w:hint="eastAsia" w:cs="宋体"/>
          <w:bCs/>
        </w:rPr>
        <w:t>7、胃肠镜转运车，一个</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1、其周转箱材料由高分子复合材料独立开模制成，车体由不锈钢喷塑而成，具有耐腐蚀、不沾水、取放方便等优点；</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2、内镜存放导航隔条使污染部位和非污染部位分离；</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3、托盘外观尺寸570*400*40mm（长*宽*深）；</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 xml:space="preserve">   内径尺寸480*310*80（mm长*宽*深）；</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4、双层设计使客户在使用过程中可将清洁和污染的内镜分层标明后置放；</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5、每层配有透明高分子材料箱盖，高度为80mm，方便拿取及观察镜子转运情况；</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6、设计使每一层周转箱拿取更方便、更安全；</w:t>
      </w:r>
    </w:p>
    <w:p>
      <w:pPr>
        <w:pStyle w:val="76"/>
        <w:numPr>
          <w:ilvl w:val="1"/>
          <w:numId w:val="0"/>
        </w:numPr>
        <w:tabs>
          <w:tab w:val="left" w:pos="1440"/>
        </w:tabs>
        <w:spacing w:before="156" w:after="156" w:line="360" w:lineRule="auto"/>
        <w:ind w:left="210" w:leftChars="100"/>
        <w:rPr>
          <w:rFonts w:cs="宋体"/>
          <w:b w:val="0"/>
        </w:rPr>
      </w:pPr>
      <w:r>
        <w:rPr>
          <w:rFonts w:hint="eastAsia" w:cs="宋体"/>
          <w:b w:val="0"/>
        </w:rPr>
        <w:t>7、采用万向静音轮，车行顺畅、安静无噪音。</w:t>
      </w:r>
    </w:p>
    <w:p>
      <w:pPr>
        <w:pStyle w:val="56"/>
        <w:snapToGrid w:val="0"/>
        <w:spacing w:line="360" w:lineRule="auto"/>
        <w:rPr>
          <w:rFonts w:hAnsi="宋体"/>
          <w:b/>
          <w:bCs/>
          <w:color w:val="auto"/>
        </w:rPr>
      </w:pPr>
      <w:r>
        <w:rPr>
          <w:rFonts w:hint="eastAsia" w:hAnsi="宋体"/>
          <w:b/>
          <w:bCs/>
          <w:color w:val="auto"/>
        </w:rPr>
        <w:t>六、其他要求</w:t>
      </w:r>
    </w:p>
    <w:p>
      <w:pPr>
        <w:spacing w:line="360" w:lineRule="auto"/>
        <w:ind w:firstLine="482" w:firstLineChars="200"/>
        <w:rPr>
          <w:rFonts w:ascii="宋体" w:hAnsi="宋体" w:cs="宋体"/>
          <w:b/>
          <w:bCs/>
          <w:sz w:val="24"/>
        </w:rPr>
      </w:pPr>
      <w:r>
        <w:rPr>
          <w:rFonts w:hint="eastAsia" w:ascii="宋体" w:hAnsi="宋体" w:cs="宋体"/>
          <w:b/>
          <w:color w:val="262626"/>
          <w:sz w:val="24"/>
        </w:rPr>
        <w:t>维保及售后服务要求：</w:t>
      </w:r>
    </w:p>
    <w:p>
      <w:pPr>
        <w:spacing w:line="360" w:lineRule="auto"/>
        <w:ind w:firstLine="480" w:firstLineChars="200"/>
        <w:jc w:val="left"/>
        <w:rPr>
          <w:rFonts w:ascii="宋体" w:hAnsi="宋体" w:cs="宋体"/>
          <w:color w:val="262626"/>
          <w:sz w:val="24"/>
        </w:rPr>
      </w:pPr>
      <w:r>
        <w:rPr>
          <w:rFonts w:hint="eastAsia" w:ascii="宋体" w:hAnsi="宋体" w:cs="宋体"/>
          <w:color w:val="262626"/>
          <w:sz w:val="24"/>
        </w:rPr>
        <w:t>1、质保要求：供应商报价时须承诺所供货物保修免费质保期为 1年（含)以上（自验收报告签字确认日起，开始进入质保期）。</w:t>
      </w:r>
    </w:p>
    <w:p>
      <w:pPr>
        <w:spacing w:line="360" w:lineRule="auto"/>
        <w:ind w:firstLine="480" w:firstLineChars="200"/>
        <w:jc w:val="left"/>
        <w:rPr>
          <w:rFonts w:ascii="宋体" w:hAnsi="宋体" w:cs="宋体"/>
          <w:color w:val="262626"/>
          <w:sz w:val="24"/>
        </w:rPr>
      </w:pPr>
      <w:r>
        <w:rPr>
          <w:rFonts w:hint="eastAsia" w:ascii="宋体" w:hAnsi="宋体" w:cs="宋体"/>
          <w:color w:val="262626"/>
          <w:sz w:val="24"/>
        </w:rPr>
        <w:t>2、售后服务要求：</w:t>
      </w:r>
    </w:p>
    <w:p>
      <w:pPr>
        <w:spacing w:line="360" w:lineRule="auto"/>
        <w:ind w:firstLine="480" w:firstLineChars="200"/>
        <w:jc w:val="left"/>
        <w:rPr>
          <w:rFonts w:ascii="宋体" w:hAnsi="宋体" w:cs="宋体"/>
          <w:color w:val="262626"/>
          <w:sz w:val="24"/>
        </w:rPr>
      </w:pPr>
      <w:r>
        <w:rPr>
          <w:rFonts w:hint="eastAsia" w:ascii="宋体" w:hAnsi="宋体" w:cs="宋体"/>
          <w:color w:val="262626"/>
          <w:sz w:val="24"/>
        </w:rPr>
        <w:t>（1）供应商接到保修请求，维修应在2小时内响应，24小时内维修人员到达现场，排除故障；48小时内解决故障问题，恢复设备正常使用。必要时应向采购人提供应急备用设备。质保期后，供应商提供终生服务，保证零配件的供给。</w:t>
      </w:r>
    </w:p>
    <w:p>
      <w:pPr>
        <w:spacing w:line="360" w:lineRule="auto"/>
        <w:ind w:firstLine="480"/>
        <w:jc w:val="left"/>
        <w:rPr>
          <w:rFonts w:ascii="宋体" w:hAnsi="宋体" w:cs="宋体"/>
          <w:sz w:val="24"/>
        </w:rPr>
      </w:pPr>
      <w:r>
        <w:rPr>
          <w:rFonts w:hint="eastAsia" w:ascii="宋体" w:hAnsi="宋体" w:cs="宋体"/>
          <w:sz w:val="24"/>
        </w:rPr>
        <w:t>（2）质保期结束，不能视为供应商对合同货物中存在的可能引起货物损坏的潜在缺陷所应负责任的解除。潜在缺陷指货物在制造过程中未被发现的隐患，供应商对纠正潜在缺陷应负责任，其时间应延续至质保期终止后贰年。当发现这类潜在缺陷时（经双方确认），供应商应立即予以无偿修复或更换。</w:t>
      </w:r>
    </w:p>
    <w:p>
      <w:pPr>
        <w:spacing w:line="360" w:lineRule="auto"/>
        <w:ind w:firstLine="480"/>
        <w:jc w:val="left"/>
        <w:rPr>
          <w:rFonts w:ascii="宋体" w:hAnsi="宋体" w:cs="宋体"/>
          <w:sz w:val="24"/>
        </w:rPr>
      </w:pPr>
      <w:r>
        <w:rPr>
          <w:rFonts w:hint="eastAsia" w:ascii="宋体" w:hAnsi="宋体" w:cs="宋体"/>
          <w:sz w:val="24"/>
        </w:rPr>
        <w:t>（3）供应商应按照国家有关法律法规和“三包”规定以及响应文件中的“售后服务承诺”提供服务。</w:t>
      </w:r>
    </w:p>
    <w:p>
      <w:pPr>
        <w:spacing w:line="360" w:lineRule="auto"/>
        <w:ind w:firstLine="480"/>
        <w:jc w:val="left"/>
        <w:rPr>
          <w:rFonts w:ascii="宋体" w:hAnsi="宋体" w:cs="宋体"/>
          <w:sz w:val="24"/>
        </w:rPr>
      </w:pPr>
      <w:r>
        <w:rPr>
          <w:rFonts w:hint="eastAsia" w:ascii="宋体" w:hAnsi="宋体" w:cs="宋体"/>
          <w:sz w:val="24"/>
        </w:rPr>
        <w:t>（4）因供应商所提供的产品，造成采购人设备损坏或其他损失，以及其他第三方损失的，一经核实，供应商必须赔偿采购人或第三方因此造成的所有损失。</w:t>
      </w:r>
    </w:p>
    <w:p>
      <w:pPr>
        <w:spacing w:line="360" w:lineRule="auto"/>
        <w:ind w:firstLine="480"/>
        <w:jc w:val="left"/>
        <w:rPr>
          <w:rFonts w:ascii="宋体" w:hAnsi="宋体" w:cs="宋体"/>
          <w:sz w:val="24"/>
        </w:rPr>
      </w:pPr>
      <w:r>
        <w:rPr>
          <w:rFonts w:hint="eastAsia" w:ascii="宋体" w:hAnsi="宋体" w:cs="宋体"/>
          <w:sz w:val="24"/>
        </w:rPr>
        <w:t>（5）供应商所提供货物必须是全新未使用的并符合国家有关技术标准。</w:t>
      </w:r>
    </w:p>
    <w:p>
      <w:pPr>
        <w:spacing w:line="360" w:lineRule="auto"/>
        <w:ind w:firstLine="480"/>
        <w:jc w:val="left"/>
        <w:rPr>
          <w:rFonts w:ascii="宋体" w:hAnsi="宋体" w:cs="宋体"/>
          <w:sz w:val="24"/>
        </w:rPr>
      </w:pPr>
      <w:r>
        <w:rPr>
          <w:rFonts w:hint="eastAsia" w:ascii="宋体" w:hAnsi="宋体" w:cs="宋体"/>
          <w:sz w:val="24"/>
        </w:rPr>
        <w:t>（6）终身提供应用技术服务，设备出现故障时保证24小时内服务维修响应。</w:t>
      </w:r>
    </w:p>
    <w:p>
      <w:pPr>
        <w:spacing w:line="360" w:lineRule="auto"/>
        <w:ind w:firstLine="480" w:firstLineChars="200"/>
        <w:jc w:val="left"/>
        <w:rPr>
          <w:rFonts w:ascii="宋体" w:hAnsi="宋体" w:cs="宋体"/>
          <w:color w:val="262626"/>
          <w:sz w:val="24"/>
        </w:rPr>
      </w:pPr>
      <w:r>
        <w:rPr>
          <w:rFonts w:hint="eastAsia" w:ascii="宋体" w:hAnsi="宋体" w:cs="宋体"/>
          <w:sz w:val="24"/>
        </w:rPr>
        <w:t>（7）质保期过后，对于货物维修只收取基本材料备件费，不收取工时费。</w:t>
      </w:r>
    </w:p>
    <w:p>
      <w:pPr>
        <w:spacing w:line="360" w:lineRule="auto"/>
        <w:ind w:firstLine="720" w:firstLineChars="300"/>
        <w:jc w:val="left"/>
        <w:rPr>
          <w:rFonts w:ascii="宋体" w:hAnsi="宋体" w:cs="宋体"/>
          <w:color w:val="262626"/>
          <w:sz w:val="24"/>
        </w:rPr>
      </w:pPr>
      <w:r>
        <w:rPr>
          <w:rFonts w:hint="eastAsia" w:ascii="宋体" w:hAnsi="宋体" w:cs="宋体"/>
          <w:color w:val="262626"/>
          <w:sz w:val="24"/>
        </w:rPr>
        <w:t>3、培训要求：</w:t>
      </w:r>
    </w:p>
    <w:p>
      <w:pPr>
        <w:spacing w:line="360" w:lineRule="auto"/>
        <w:ind w:firstLine="480" w:firstLineChars="200"/>
        <w:jc w:val="left"/>
        <w:rPr>
          <w:rFonts w:ascii="宋体" w:hAnsi="宋体" w:cs="宋体"/>
          <w:color w:val="262626"/>
          <w:sz w:val="24"/>
        </w:rPr>
      </w:pPr>
      <w:r>
        <w:rPr>
          <w:rFonts w:hint="eastAsia" w:ascii="宋体" w:hAnsi="宋体" w:cs="宋体"/>
          <w:color w:val="262626"/>
          <w:sz w:val="24"/>
        </w:rPr>
        <w:t xml:space="preserve">提供专业的系统的技术培训（操作、维修），工程师现场培训。并保证需方操作人员正常使用设备的各种功能。提供维修资料及维修培训（包括手册和资料），提供详细的验收标准、验收手册。设备安装后，按国际和国家及厂方标准进行质量验收。 </w:t>
      </w:r>
    </w:p>
    <w:p>
      <w:pPr>
        <w:spacing w:line="360" w:lineRule="auto"/>
        <w:ind w:firstLine="480" w:firstLineChars="200"/>
        <w:jc w:val="left"/>
        <w:rPr>
          <w:rFonts w:ascii="宋体" w:hAnsi="宋体" w:cs="宋体"/>
          <w:color w:val="262626"/>
          <w:sz w:val="24"/>
        </w:rPr>
      </w:pPr>
      <w:r>
        <w:rPr>
          <w:rFonts w:hint="eastAsia" w:ascii="宋体" w:hAnsi="宋体" w:cs="宋体"/>
          <w:color w:val="262626"/>
          <w:sz w:val="24"/>
        </w:rPr>
        <w:t xml:space="preserve"> </w:t>
      </w:r>
      <w:r>
        <w:rPr>
          <w:rFonts w:hint="eastAsia" w:ascii="宋体" w:hAnsi="宋体" w:cs="宋体"/>
          <w:b/>
          <w:color w:val="262626"/>
          <w:sz w:val="24"/>
        </w:rPr>
        <w:t>交付要求：</w:t>
      </w:r>
    </w:p>
    <w:p>
      <w:pPr>
        <w:spacing w:line="360" w:lineRule="auto"/>
        <w:ind w:firstLine="480" w:firstLineChars="200"/>
        <w:jc w:val="left"/>
        <w:rPr>
          <w:rFonts w:ascii="宋体" w:hAnsi="宋体" w:cs="宋体"/>
          <w:color w:val="262626"/>
          <w:sz w:val="24"/>
        </w:rPr>
      </w:pPr>
      <w:r>
        <w:rPr>
          <w:rFonts w:hint="eastAsia" w:ascii="宋体" w:hAnsi="宋体" w:cs="宋体"/>
          <w:color w:val="262626"/>
          <w:sz w:val="24"/>
        </w:rPr>
        <w:t>1、</w:t>
      </w:r>
      <w:r>
        <w:rPr>
          <w:rFonts w:hint="eastAsia" w:ascii="宋体" w:hAnsi="宋体" w:cs="宋体"/>
          <w:sz w:val="24"/>
        </w:rPr>
        <w:t>交付时间：签订合同后20天内供货并安装调试到位。</w:t>
      </w:r>
    </w:p>
    <w:p>
      <w:pPr>
        <w:spacing w:line="360" w:lineRule="auto"/>
        <w:ind w:firstLine="480" w:firstLineChars="200"/>
        <w:jc w:val="left"/>
        <w:rPr>
          <w:rFonts w:ascii="宋体" w:hAnsi="宋体" w:cs="宋体"/>
          <w:color w:val="262626"/>
          <w:sz w:val="24"/>
        </w:rPr>
      </w:pPr>
      <w:r>
        <w:rPr>
          <w:rFonts w:hint="eastAsia" w:ascii="宋体" w:hAnsi="宋体" w:cs="宋体"/>
          <w:color w:val="262626"/>
          <w:sz w:val="24"/>
        </w:rPr>
        <w:t>2、验收标准：设备安装后，需方按国际和国家标准及厂方标准进行质量验收。供方应向需方提供详细的验收标准、验收手册。当双方对验收标准有争议时，可委托双方一致认可的国家相关权威检测中心进行检测，费用由供货方承担，只有在设备完全正常运转和买方确认后，设备的安装工作才能认为已全部完成。</w:t>
      </w:r>
    </w:p>
    <w:p>
      <w:pPr>
        <w:pStyle w:val="28"/>
        <w:adjustRightInd w:val="0"/>
        <w:snapToGrid w:val="0"/>
        <w:spacing w:line="360" w:lineRule="auto"/>
        <w:ind w:firstLine="480"/>
        <w:rPr>
          <w:rFonts w:ascii="宋体" w:hAnsi="宋体" w:cs="宋体"/>
          <w:b/>
          <w:bCs/>
          <w:sz w:val="24"/>
          <w:szCs w:val="24"/>
        </w:rPr>
      </w:pPr>
      <w:r>
        <w:rPr>
          <w:rFonts w:hint="eastAsia" w:ascii="宋体" w:hAnsi="宋体" w:cs="宋体"/>
          <w:color w:val="262626"/>
          <w:sz w:val="24"/>
          <w:szCs w:val="24"/>
        </w:rPr>
        <w:t>3、送货地点：供应商负责将货物运到采购人指定地点和楼层，由供应商负责办理运输和装卸等，费用由供应商负责，由采购人组织验收，检验不合格或不符合质量要求，供应商除无条件退货、返工外，还应承担采购人的一切损失。</w:t>
      </w:r>
    </w:p>
    <w:p>
      <w:pPr>
        <w:pStyle w:val="28"/>
        <w:spacing w:line="360" w:lineRule="auto"/>
        <w:ind w:firstLine="480"/>
        <w:contextualSpacing/>
        <w:rPr>
          <w:rFonts w:ascii="Times New Roman" w:hAnsi="Times New Roman"/>
          <w:bCs/>
          <w:sz w:val="24"/>
          <w:szCs w:val="24"/>
        </w:rPr>
      </w:pPr>
    </w:p>
    <w:p>
      <w:pPr>
        <w:pStyle w:val="28"/>
        <w:spacing w:line="360" w:lineRule="auto"/>
        <w:ind w:firstLine="0" w:firstLineChars="0"/>
        <w:contextualSpacing/>
        <w:rPr>
          <w:rFonts w:ascii="Times New Roman" w:hAnsi="Times New Roman"/>
          <w:bCs/>
          <w:sz w:val="24"/>
          <w:szCs w:val="24"/>
        </w:rPr>
      </w:pPr>
    </w:p>
    <w:p>
      <w:pPr>
        <w:pStyle w:val="28"/>
        <w:spacing w:line="360" w:lineRule="auto"/>
        <w:ind w:firstLine="480"/>
        <w:contextualSpacing/>
        <w:rPr>
          <w:rFonts w:ascii="Times New Roman" w:hAnsi="Times New Roman"/>
          <w:bCs/>
          <w:sz w:val="24"/>
          <w:szCs w:val="24"/>
        </w:rPr>
      </w:pPr>
    </w:p>
    <w:p>
      <w:pPr>
        <w:pStyle w:val="28"/>
        <w:spacing w:line="360" w:lineRule="auto"/>
        <w:ind w:firstLine="480"/>
        <w:contextualSpacing/>
        <w:rPr>
          <w:rFonts w:ascii="Times New Roman" w:hAnsi="Times New Roman"/>
          <w:bCs/>
          <w:sz w:val="24"/>
          <w:szCs w:val="24"/>
        </w:rPr>
      </w:pPr>
    </w:p>
    <w:p>
      <w:pPr>
        <w:pStyle w:val="20"/>
        <w:spacing w:line="360" w:lineRule="auto"/>
        <w:rPr>
          <w:rFonts w:ascii="宋体" w:hAnsi="宋体"/>
          <w:sz w:val="28"/>
          <w:szCs w:val="28"/>
        </w:rPr>
      </w:pPr>
      <w:bookmarkStart w:id="43" w:name="_Toc165282395"/>
      <w:r>
        <w:rPr>
          <w:rFonts w:hint="eastAsia" w:ascii="宋体" w:hAnsi="宋体"/>
          <w:sz w:val="28"/>
          <w:szCs w:val="28"/>
        </w:rPr>
        <w:t>第五章 评标方法和评标标准</w:t>
      </w:r>
      <w:bookmarkEnd w:id="43"/>
    </w:p>
    <w:p>
      <w:pPr>
        <w:spacing w:line="360" w:lineRule="auto"/>
        <w:rPr>
          <w:rFonts w:ascii="宋体" w:hAnsi="宋体" w:cs="宋体"/>
          <w:sz w:val="24"/>
        </w:rPr>
      </w:pPr>
      <w:r>
        <w:rPr>
          <w:rFonts w:hint="eastAsia" w:ascii="宋体" w:hAnsi="宋体" w:cs="宋体"/>
          <w:b/>
          <w:bCs/>
          <w:sz w:val="24"/>
        </w:rPr>
        <w:t>一、评审办法：</w:t>
      </w:r>
      <w:r>
        <w:rPr>
          <w:rFonts w:hint="eastAsia" w:ascii="宋体" w:hAnsi="宋体" w:cs="宋体"/>
          <w:sz w:val="24"/>
        </w:rPr>
        <w:t>采用综合评分法的，按评审后综合得分由高到低顺序排列，响应文件满足磋商文件全部实质性要求，且按照评审因素的量化指标评审综合得分最高的供应商为排名第一的中标候选人。综合得分相同的，按技术指标得分优劣顺序排列。综合得分相同且技术指标得分相同的按报价得分由高到低顺序排列。</w:t>
      </w:r>
    </w:p>
    <w:p>
      <w:pPr>
        <w:spacing w:line="360" w:lineRule="auto"/>
        <w:ind w:firstLine="482" w:firstLineChars="200"/>
        <w:jc w:val="left"/>
        <w:rPr>
          <w:rFonts w:ascii="宋体" w:hAnsi="宋体"/>
          <w:b/>
          <w:sz w:val="24"/>
        </w:rPr>
      </w:pPr>
      <w:r>
        <w:rPr>
          <w:rFonts w:hint="eastAsia" w:ascii="宋体" w:hAnsi="宋体"/>
          <w:b/>
          <w:sz w:val="24"/>
        </w:rPr>
        <w:t>注：每部分的得分保留小数点后两位，合计得分保留小数点后两位。</w:t>
      </w:r>
    </w:p>
    <w:p>
      <w:pPr>
        <w:spacing w:line="360" w:lineRule="auto"/>
        <w:rPr>
          <w:rFonts w:ascii="宋体" w:hAnsi="宋体" w:cs="宋体"/>
          <w:b/>
          <w:bCs/>
          <w:sz w:val="24"/>
        </w:rPr>
      </w:pPr>
      <w:r>
        <w:rPr>
          <w:rFonts w:hint="eastAsia" w:ascii="宋体" w:hAnsi="宋体" w:cs="宋体"/>
          <w:b/>
          <w:bCs/>
          <w:sz w:val="24"/>
        </w:rPr>
        <w:t>二、评标标准</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348"/>
        <w:gridCol w:w="949"/>
        <w:gridCol w:w="352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17"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序号</w:t>
            </w:r>
          </w:p>
        </w:tc>
        <w:tc>
          <w:tcPr>
            <w:tcW w:w="6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评分因素</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分值</w:t>
            </w:r>
          </w:p>
        </w:tc>
        <w:tc>
          <w:tcPr>
            <w:tcW w:w="1770"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评分标准</w:t>
            </w:r>
          </w:p>
        </w:tc>
        <w:tc>
          <w:tcPr>
            <w:tcW w:w="1561" w:type="pct"/>
            <w:tcBorders>
              <w:top w:val="single" w:color="auto" w:sz="4" w:space="0"/>
              <w:left w:val="single" w:color="auto" w:sz="4" w:space="0"/>
              <w:bottom w:val="single" w:color="auto" w:sz="4" w:space="0"/>
              <w:right w:val="single" w:color="auto" w:sz="4" w:space="0"/>
            </w:tcBorders>
            <w:vAlign w:val="center"/>
          </w:tcPr>
          <w:p>
            <w:pPr>
              <w:pStyle w:val="75"/>
              <w:spacing w:before="0" w:after="0" w:line="240" w:lineRule="auto"/>
              <w:rPr>
                <w:rFonts w:asciiTheme="minorEastAsia" w:hAnsiTheme="minorEastAsia" w:eastAsiaTheme="minorEastAsia"/>
                <w:color w:val="000000"/>
                <w:szCs w:val="24"/>
              </w:rPr>
            </w:pPr>
            <w:r>
              <w:rPr>
                <w:rFonts w:hint="eastAsia" w:asciiTheme="minorEastAsia" w:hAnsiTheme="minorEastAsia" w:eastAsiaTheme="minorEastAsia"/>
                <w:color w:val="00000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517"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b/>
                <w:color w:val="000000"/>
                <w:sz w:val="24"/>
              </w:rPr>
            </w:pPr>
            <w:r>
              <w:rPr>
                <w:rFonts w:hint="eastAsia" w:asciiTheme="minorEastAsia" w:hAnsiTheme="minorEastAsia" w:eastAsiaTheme="minorEastAsia"/>
                <w:bCs/>
                <w:color w:val="000000"/>
                <w:sz w:val="24"/>
              </w:rPr>
              <w:t>1</w:t>
            </w:r>
          </w:p>
        </w:tc>
        <w:tc>
          <w:tcPr>
            <w:tcW w:w="6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价格分</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40</w:t>
            </w:r>
          </w:p>
        </w:tc>
        <w:tc>
          <w:tcPr>
            <w:tcW w:w="1770" w:type="pct"/>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价格分采用低价优先法计算，即满足磋商文件要求且磋商价格最低的磋商报价为评标基准价，其价格分为满分。其他供应商的价格分统一按照下列公式计算（计算结果四舍五入保留两位小数）：</w:t>
            </w:r>
          </w:p>
          <w:p>
            <w:pPr>
              <w:spacing w:line="360" w:lineRule="exact"/>
              <w:rPr>
                <w:rFonts w:cs="宋体" w:asciiTheme="minorEastAsia" w:hAnsiTheme="minorEastAsia" w:eastAsiaTheme="minorEastAsia"/>
                <w:b/>
                <w:color w:val="000000"/>
                <w:sz w:val="24"/>
              </w:rPr>
            </w:pPr>
            <w:r>
              <w:rPr>
                <w:rFonts w:hint="eastAsia" w:cs="宋体" w:asciiTheme="minorEastAsia" w:hAnsiTheme="minorEastAsia" w:eastAsiaTheme="minorEastAsia"/>
                <w:color w:val="000000"/>
                <w:sz w:val="24"/>
              </w:rPr>
              <w:t>磋商报价得分=（评标基准价/磋商报价）*价格权重</w:t>
            </w:r>
          </w:p>
        </w:tc>
        <w:tc>
          <w:tcPr>
            <w:tcW w:w="156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此处最终报价指经过报价修正，及因落实政府采购政策进行价格调整后的最终报价。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17"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stheme="minorBidi"/>
                <w:color w:val="000000"/>
                <w:sz w:val="24"/>
              </w:rPr>
            </w:pPr>
            <w:r>
              <w:rPr>
                <w:rFonts w:hint="eastAsia" w:asciiTheme="minorEastAsia" w:hAnsiTheme="minorEastAsia" w:eastAsiaTheme="minorEastAsia"/>
                <w:color w:val="000000"/>
                <w:sz w:val="24"/>
              </w:rPr>
              <w:t>2</w:t>
            </w:r>
          </w:p>
        </w:tc>
        <w:tc>
          <w:tcPr>
            <w:tcW w:w="6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主观分</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19</w:t>
            </w:r>
          </w:p>
        </w:tc>
        <w:tc>
          <w:tcPr>
            <w:tcW w:w="177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olor w:val="000000"/>
                <w:sz w:val="24"/>
              </w:rPr>
            </w:pPr>
          </w:p>
        </w:tc>
        <w:tc>
          <w:tcPr>
            <w:tcW w:w="1561" w:type="pct"/>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2.1</w:t>
            </w:r>
          </w:p>
        </w:tc>
        <w:tc>
          <w:tcPr>
            <w:tcW w:w="676" w:type="pct"/>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项目实施方案</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stheme="minorBidi"/>
                <w:sz w:val="24"/>
              </w:rPr>
            </w:pPr>
            <w:r>
              <w:rPr>
                <w:rFonts w:hint="eastAsia" w:asciiTheme="minorEastAsia" w:hAnsiTheme="minorEastAsia" w:eastAsiaTheme="minorEastAsia"/>
                <w:sz w:val="24"/>
              </w:rPr>
              <w:t>5</w:t>
            </w:r>
          </w:p>
        </w:tc>
        <w:tc>
          <w:tcPr>
            <w:tcW w:w="1770" w:type="pct"/>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根据供应商提供的项目实施方案内容的完整性及进度计划安排的合理性进行打分，包括但不限于投标人如何在成交后有效地组织技术和人员力量，按时保质地完成供货、安装验收等。</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实施方案内容完整、进度计划安排合理、优于采购人需求的得5分；</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实施方案内容较完整、进度计划安排较合理、满足采购人需求的得4分；</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实施方案内容一般、进度计划安排一般、基本满足采购人需求的得3分；</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实施方案内容较少、进度计划安排不合理、不能很好满足采购人需求的得1分；</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不提供不得分。</w:t>
            </w:r>
          </w:p>
        </w:tc>
        <w:tc>
          <w:tcPr>
            <w:tcW w:w="1561" w:type="pct"/>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Theme="minorEastAsia" w:hAnsiTheme="minorEastAsia" w:eastAsiaTheme="minorEastAsia"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2.2</w:t>
            </w:r>
          </w:p>
        </w:tc>
        <w:tc>
          <w:tcPr>
            <w:tcW w:w="676" w:type="pct"/>
            <w:tcBorders>
              <w:top w:val="single" w:color="auto" w:sz="4" w:space="0"/>
              <w:left w:val="single" w:color="auto" w:sz="4" w:space="0"/>
              <w:bottom w:val="single" w:color="auto" w:sz="4" w:space="0"/>
              <w:right w:val="single" w:color="auto" w:sz="4" w:space="0"/>
            </w:tcBorders>
            <w:vAlign w:val="center"/>
          </w:tcPr>
          <w:p>
            <w:pPr>
              <w:pStyle w:val="56"/>
              <w:spacing w:line="360" w:lineRule="exact"/>
              <w:jc w:val="center"/>
              <w:rPr>
                <w:rFonts w:asciiTheme="minorEastAsia" w:hAnsiTheme="minorEastAsia" w:eastAsiaTheme="minorEastAsia"/>
              </w:rPr>
            </w:pPr>
            <w:r>
              <w:rPr>
                <w:rFonts w:hint="eastAsia" w:asciiTheme="minorEastAsia" w:hAnsiTheme="minorEastAsia" w:eastAsiaTheme="minorEastAsia"/>
              </w:rPr>
              <w:t>培训方案</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stheme="minorBidi"/>
                <w:color w:val="000000"/>
                <w:sz w:val="24"/>
              </w:rPr>
            </w:pPr>
            <w:r>
              <w:rPr>
                <w:rFonts w:hint="eastAsia" w:asciiTheme="minorEastAsia" w:hAnsiTheme="minorEastAsia" w:eastAsiaTheme="minorEastAsia"/>
                <w:color w:val="000000"/>
                <w:sz w:val="24"/>
              </w:rPr>
              <w:t>5</w:t>
            </w:r>
          </w:p>
        </w:tc>
        <w:tc>
          <w:tcPr>
            <w:tcW w:w="1770" w:type="pct"/>
            <w:tcBorders>
              <w:top w:val="single" w:color="auto" w:sz="4" w:space="0"/>
              <w:left w:val="single" w:color="auto" w:sz="4" w:space="0"/>
              <w:bottom w:val="single" w:color="auto" w:sz="4" w:space="0"/>
              <w:right w:val="single" w:color="auto" w:sz="4" w:space="0"/>
            </w:tcBorders>
            <w:vAlign w:val="center"/>
          </w:tcPr>
          <w:p>
            <w:pPr>
              <w:pStyle w:val="56"/>
              <w:spacing w:line="360" w:lineRule="exact"/>
              <w:rPr>
                <w:rFonts w:asciiTheme="minorEastAsia" w:hAnsiTheme="minorEastAsia" w:eastAsiaTheme="minorEastAsia"/>
              </w:rPr>
            </w:pPr>
            <w:r>
              <w:rPr>
                <w:rFonts w:hint="eastAsia" w:asciiTheme="minorEastAsia" w:hAnsiTheme="minorEastAsia" w:eastAsiaTheme="minorEastAsia"/>
              </w:rPr>
              <w:t>供应商培训方案情况比较：包括培训步骤、培训计划、培训记录表等。</w:t>
            </w:r>
          </w:p>
          <w:p>
            <w:pPr>
              <w:spacing w:line="30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培训方案详细具体，可行性高，优于项目需求的得5分；</w:t>
            </w:r>
          </w:p>
          <w:p>
            <w:pPr>
              <w:spacing w:line="30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培训方案较为详细具体，可行性较高，满足项目需求的得3分；</w:t>
            </w:r>
          </w:p>
          <w:p>
            <w:pPr>
              <w:spacing w:line="30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培训方案不够详细具体，可行性较低，不能完全满足项目需求的得1分；</w:t>
            </w:r>
          </w:p>
          <w:p>
            <w:pPr>
              <w:pStyle w:val="56"/>
              <w:spacing w:line="360" w:lineRule="exact"/>
              <w:rPr>
                <w:rFonts w:asciiTheme="minorEastAsia" w:hAnsiTheme="minorEastAsia" w:eastAsiaTheme="minorEastAsia"/>
              </w:rPr>
            </w:pPr>
            <w:r>
              <w:rPr>
                <w:rFonts w:hint="eastAsia" w:asciiTheme="minorEastAsia" w:hAnsiTheme="minorEastAsia" w:eastAsiaTheme="minorEastAsia"/>
              </w:rPr>
              <w:t>不提供不得分。</w:t>
            </w:r>
          </w:p>
        </w:tc>
        <w:tc>
          <w:tcPr>
            <w:tcW w:w="1561" w:type="pct"/>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Theme="minorEastAsia" w:hAnsiTheme="minorEastAsia" w:eastAsiaTheme="minorEastAsia"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2.3</w:t>
            </w:r>
          </w:p>
        </w:tc>
        <w:tc>
          <w:tcPr>
            <w:tcW w:w="676"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售后服务管理体系方案</w:t>
            </w:r>
          </w:p>
        </w:tc>
        <w:tc>
          <w:tcPr>
            <w:tcW w:w="476"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p>
        </w:tc>
        <w:tc>
          <w:tcPr>
            <w:tcW w:w="1770"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针对本项目制定的售后服务管理体系方案，包括售后服务人员、服务机制、响应时间、故障解决等内容的合理性和可行性。</w:t>
            </w:r>
          </w:p>
          <w:p>
            <w:pPr>
              <w:spacing w:line="30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售后服务方案完整合理，可行性高，优于项目需求的得3分；</w:t>
            </w:r>
          </w:p>
          <w:p>
            <w:pPr>
              <w:spacing w:line="30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售后服务方案较为完整合理，可行性较高，满足项目需求的得2分；</w:t>
            </w:r>
          </w:p>
          <w:p>
            <w:pPr>
              <w:spacing w:line="30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售后服务方案不够完整合理，可行性较低，不能完全满足项目需求的得1分；</w:t>
            </w:r>
          </w:p>
          <w:p>
            <w:pPr>
              <w:pStyle w:val="56"/>
              <w:spacing w:line="360" w:lineRule="exact"/>
              <w:rPr>
                <w:rFonts w:asciiTheme="minorEastAsia" w:hAnsiTheme="minorEastAsia" w:eastAsiaTheme="minorEastAsia"/>
              </w:rPr>
            </w:pPr>
            <w:r>
              <w:rPr>
                <w:rFonts w:hint="eastAsia" w:asciiTheme="minorEastAsia" w:hAnsiTheme="minorEastAsia" w:eastAsiaTheme="minorEastAsia"/>
              </w:rPr>
              <w:t>不提供不得分。</w:t>
            </w:r>
          </w:p>
        </w:tc>
        <w:tc>
          <w:tcPr>
            <w:tcW w:w="1561" w:type="pct"/>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Theme="minorEastAsia" w:hAnsiTheme="minorEastAsia" w:eastAsiaTheme="minorEastAsia"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2.4</w:t>
            </w:r>
          </w:p>
        </w:tc>
        <w:tc>
          <w:tcPr>
            <w:tcW w:w="676"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质保期满后维保收费及内容比较</w:t>
            </w:r>
          </w:p>
        </w:tc>
        <w:tc>
          <w:tcPr>
            <w:tcW w:w="476"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p>
        </w:tc>
        <w:tc>
          <w:tcPr>
            <w:tcW w:w="1770" w:type="pct"/>
            <w:tcBorders>
              <w:top w:val="single" w:color="auto" w:sz="4" w:space="0"/>
              <w:left w:val="single" w:color="auto" w:sz="4" w:space="0"/>
              <w:bottom w:val="single" w:color="auto" w:sz="4" w:space="0"/>
              <w:right w:val="single" w:color="auto" w:sz="4" w:space="0"/>
            </w:tcBorders>
            <w:vAlign w:val="center"/>
          </w:tcPr>
          <w:p>
            <w:pPr>
              <w:pStyle w:val="56"/>
              <w:spacing w:line="360" w:lineRule="exact"/>
              <w:rPr>
                <w:rFonts w:asciiTheme="minorEastAsia" w:hAnsiTheme="minorEastAsia" w:eastAsiaTheme="minorEastAsia"/>
              </w:rPr>
            </w:pPr>
            <w:r>
              <w:rPr>
                <w:rFonts w:hint="eastAsia" w:asciiTheme="minorEastAsia" w:hAnsiTheme="minorEastAsia" w:eastAsiaTheme="minorEastAsia"/>
              </w:rPr>
              <w:t>质保期满后维保收费及内容比较：</w:t>
            </w:r>
          </w:p>
          <w:p>
            <w:pPr>
              <w:pStyle w:val="56"/>
              <w:spacing w:line="360" w:lineRule="exact"/>
              <w:rPr>
                <w:rFonts w:asciiTheme="minorEastAsia" w:hAnsiTheme="minorEastAsia" w:eastAsiaTheme="minorEastAsia"/>
              </w:rPr>
            </w:pPr>
            <w:r>
              <w:rPr>
                <w:rFonts w:hint="eastAsia" w:asciiTheme="minorEastAsia" w:hAnsiTheme="minorEastAsia" w:eastAsiaTheme="minorEastAsia"/>
              </w:rPr>
              <w:t>提供零配件和维修备品备件的供应保障和维保期满后维保收费及维保方案内容完整清晰，优于项目需求的得3分；</w:t>
            </w:r>
          </w:p>
          <w:p>
            <w:pPr>
              <w:pStyle w:val="56"/>
              <w:spacing w:line="360" w:lineRule="exact"/>
              <w:rPr>
                <w:rFonts w:asciiTheme="minorEastAsia" w:hAnsiTheme="minorEastAsia" w:eastAsiaTheme="minorEastAsia"/>
              </w:rPr>
            </w:pPr>
            <w:r>
              <w:rPr>
                <w:rFonts w:hint="eastAsia" w:asciiTheme="minorEastAsia" w:hAnsiTheme="minorEastAsia" w:eastAsiaTheme="minorEastAsia"/>
              </w:rPr>
              <w:t>零配件和维修备品备件的供应保障和维保期满后维保收费及维保方案内容较完整，满足项目需求的得2分；</w:t>
            </w:r>
          </w:p>
          <w:p>
            <w:pPr>
              <w:pStyle w:val="56"/>
              <w:spacing w:line="360" w:lineRule="exact"/>
              <w:rPr>
                <w:rFonts w:asciiTheme="minorEastAsia" w:hAnsiTheme="minorEastAsia" w:eastAsiaTheme="minorEastAsia"/>
              </w:rPr>
            </w:pPr>
            <w:r>
              <w:rPr>
                <w:rFonts w:hint="eastAsia" w:asciiTheme="minorEastAsia" w:hAnsiTheme="minorEastAsia" w:eastAsiaTheme="minorEastAsia"/>
              </w:rPr>
              <w:t>零配件和维修备品备件的供应保障和维保期满后维保收费及维保方案内容介绍简单的得1分；</w:t>
            </w:r>
          </w:p>
          <w:p>
            <w:pPr>
              <w:pStyle w:val="56"/>
              <w:spacing w:line="360" w:lineRule="exact"/>
              <w:rPr>
                <w:rFonts w:asciiTheme="minorEastAsia" w:hAnsiTheme="minorEastAsia" w:eastAsiaTheme="minorEastAsia"/>
              </w:rPr>
            </w:pPr>
            <w:r>
              <w:rPr>
                <w:rFonts w:hint="eastAsia" w:asciiTheme="minorEastAsia" w:hAnsiTheme="minorEastAsia" w:eastAsiaTheme="minorEastAsia"/>
              </w:rPr>
              <w:t>不提供不得分。</w:t>
            </w:r>
          </w:p>
        </w:tc>
        <w:tc>
          <w:tcPr>
            <w:tcW w:w="1561" w:type="pct"/>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Theme="minorEastAsia" w:hAnsiTheme="minorEastAsia" w:eastAsiaTheme="minorEastAsia"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517" w:type="pct"/>
            <w:tcBorders>
              <w:top w:val="single" w:color="auto" w:sz="4" w:space="0"/>
              <w:left w:val="single" w:color="auto" w:sz="4" w:space="0"/>
              <w:bottom w:val="single" w:color="auto" w:sz="4" w:space="0"/>
              <w:right w:val="single" w:color="auto" w:sz="4" w:space="0"/>
            </w:tcBorders>
            <w:vAlign w:val="center"/>
          </w:tcPr>
          <w:p>
            <w:pPr>
              <w:ind w:firstLine="28"/>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w:t>
            </w:r>
          </w:p>
        </w:tc>
        <w:tc>
          <w:tcPr>
            <w:tcW w:w="676" w:type="pct"/>
            <w:tcBorders>
              <w:top w:val="single" w:color="auto" w:sz="4" w:space="0"/>
              <w:left w:val="single" w:color="auto" w:sz="4" w:space="0"/>
              <w:bottom w:val="single" w:color="auto" w:sz="4" w:space="0"/>
              <w:right w:val="single" w:color="auto" w:sz="4" w:space="0"/>
            </w:tcBorders>
            <w:vAlign w:val="center"/>
          </w:tcPr>
          <w:p>
            <w:pPr>
              <w:pStyle w:val="56"/>
              <w:spacing w:line="360" w:lineRule="exact"/>
              <w:jc w:val="center"/>
              <w:rPr>
                <w:rFonts w:asciiTheme="minorEastAsia" w:hAnsiTheme="minorEastAsia" w:eastAsiaTheme="minorEastAsia"/>
                <w:lang w:val="zh-CN"/>
              </w:rPr>
            </w:pPr>
            <w:r>
              <w:rPr>
                <w:rFonts w:hint="eastAsia" w:asciiTheme="minorEastAsia" w:hAnsiTheme="minorEastAsia" w:eastAsiaTheme="minorEastAsia"/>
                <w:lang w:val="zh-CN"/>
              </w:rPr>
              <w:t>投标设备整体配置</w:t>
            </w:r>
          </w:p>
          <w:p>
            <w:pPr>
              <w:pStyle w:val="56"/>
              <w:spacing w:line="360" w:lineRule="exact"/>
              <w:jc w:val="center"/>
              <w:rPr>
                <w:rFonts w:asciiTheme="minorEastAsia" w:hAnsiTheme="minorEastAsia" w:eastAsiaTheme="minorEastAsia"/>
              </w:rPr>
            </w:pPr>
            <w:r>
              <w:rPr>
                <w:rFonts w:hint="eastAsia" w:asciiTheme="minorEastAsia" w:hAnsiTheme="minorEastAsia" w:eastAsiaTheme="minorEastAsia"/>
                <w:lang w:val="zh-CN"/>
              </w:rPr>
              <w:t>情况比较</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stheme="minorBidi"/>
                <w:color w:val="000000"/>
                <w:sz w:val="24"/>
              </w:rPr>
            </w:pPr>
            <w:r>
              <w:rPr>
                <w:rFonts w:hint="eastAsia" w:asciiTheme="minorEastAsia" w:hAnsiTheme="minorEastAsia" w:eastAsiaTheme="minorEastAsia"/>
                <w:color w:val="000000"/>
                <w:sz w:val="24"/>
              </w:rPr>
              <w:t>3</w:t>
            </w:r>
          </w:p>
        </w:tc>
        <w:tc>
          <w:tcPr>
            <w:tcW w:w="1770" w:type="pct"/>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000000"/>
                <w:sz w:val="24"/>
                <w:lang w:val="zh-CN"/>
              </w:rPr>
            </w:pPr>
            <w:r>
              <w:rPr>
                <w:rFonts w:hint="eastAsia" w:cs="宋体" w:asciiTheme="minorEastAsia" w:hAnsiTheme="minorEastAsia" w:eastAsiaTheme="minorEastAsia"/>
                <w:color w:val="000000"/>
                <w:sz w:val="24"/>
                <w:lang w:val="zh-CN"/>
              </w:rPr>
              <w:t>投标设备整体配置选型情况综合比较，针对本项目的投标产品配置选型合理、先进，且与项目需求的吻合度高，得</w:t>
            </w:r>
            <w:r>
              <w:rPr>
                <w:rFonts w:hint="eastAsia" w:cs="宋体" w:asciiTheme="minorEastAsia" w:hAnsiTheme="minorEastAsia" w:eastAsiaTheme="minorEastAsia"/>
                <w:color w:val="000000"/>
                <w:sz w:val="24"/>
              </w:rPr>
              <w:t>3</w:t>
            </w:r>
            <w:r>
              <w:rPr>
                <w:rFonts w:hint="eastAsia" w:cs="宋体" w:asciiTheme="minorEastAsia" w:hAnsiTheme="minorEastAsia" w:eastAsiaTheme="minorEastAsia"/>
                <w:color w:val="000000"/>
                <w:sz w:val="24"/>
                <w:lang w:val="zh-CN"/>
              </w:rPr>
              <w:t>分；</w:t>
            </w:r>
          </w:p>
          <w:p>
            <w:pPr>
              <w:spacing w:line="360" w:lineRule="exact"/>
              <w:rPr>
                <w:rFonts w:cs="宋体" w:asciiTheme="minorEastAsia" w:hAnsiTheme="minorEastAsia" w:eastAsiaTheme="minorEastAsia"/>
                <w:color w:val="000000"/>
                <w:sz w:val="24"/>
                <w:lang w:val="zh-CN"/>
              </w:rPr>
            </w:pPr>
            <w:r>
              <w:rPr>
                <w:rFonts w:hint="eastAsia" w:cs="宋体" w:asciiTheme="minorEastAsia" w:hAnsiTheme="minorEastAsia" w:eastAsiaTheme="minorEastAsia"/>
                <w:color w:val="000000"/>
                <w:sz w:val="24"/>
                <w:lang w:val="zh-CN"/>
              </w:rPr>
              <w:t>针对本项目的投标产品配置选型一般、且与项目需求的吻合度一般，得</w:t>
            </w:r>
            <w:r>
              <w:rPr>
                <w:rFonts w:hint="eastAsia" w:cs="宋体" w:asciiTheme="minorEastAsia" w:hAnsiTheme="minorEastAsia" w:eastAsiaTheme="minorEastAsia"/>
                <w:color w:val="000000"/>
                <w:sz w:val="24"/>
              </w:rPr>
              <w:t>2</w:t>
            </w:r>
            <w:r>
              <w:rPr>
                <w:rFonts w:hint="eastAsia" w:cs="宋体" w:asciiTheme="minorEastAsia" w:hAnsiTheme="minorEastAsia" w:eastAsiaTheme="minorEastAsia"/>
                <w:color w:val="000000"/>
                <w:sz w:val="24"/>
                <w:lang w:val="zh-CN"/>
              </w:rPr>
              <w:t>分；</w:t>
            </w:r>
          </w:p>
          <w:p>
            <w:pPr>
              <w:spacing w:line="360" w:lineRule="exact"/>
              <w:rPr>
                <w:rFonts w:cs="宋体" w:asciiTheme="minorEastAsia" w:hAnsiTheme="minorEastAsia" w:eastAsiaTheme="minorEastAsia"/>
                <w:color w:val="000000"/>
                <w:sz w:val="24"/>
                <w:lang w:val="zh-CN"/>
              </w:rPr>
            </w:pPr>
            <w:r>
              <w:rPr>
                <w:rFonts w:hint="eastAsia" w:cs="宋体" w:asciiTheme="minorEastAsia" w:hAnsiTheme="minorEastAsia" w:eastAsiaTheme="minorEastAsia"/>
                <w:color w:val="000000"/>
                <w:sz w:val="24"/>
                <w:lang w:val="zh-CN"/>
              </w:rPr>
              <w:t>针对本项目的投标产品配置选型差、且与项目需求的吻合度差，得1分；</w:t>
            </w:r>
          </w:p>
          <w:p>
            <w:pPr>
              <w:pStyle w:val="56"/>
              <w:spacing w:line="360" w:lineRule="exact"/>
              <w:rPr>
                <w:rFonts w:asciiTheme="minorEastAsia" w:hAnsiTheme="minorEastAsia" w:eastAsiaTheme="minorEastAsia"/>
              </w:rPr>
            </w:pPr>
            <w:r>
              <w:rPr>
                <w:rFonts w:hint="eastAsia" w:asciiTheme="minorEastAsia" w:hAnsiTheme="minorEastAsia" w:eastAsiaTheme="minorEastAsia"/>
                <w:lang w:val="zh-CN"/>
              </w:rPr>
              <w:t>其余不得分。</w:t>
            </w:r>
          </w:p>
        </w:tc>
        <w:tc>
          <w:tcPr>
            <w:tcW w:w="1561" w:type="pct"/>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Theme="minorEastAsia" w:hAnsiTheme="minorEastAsia" w:eastAsiaTheme="minorEastAsia"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17"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6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客观分</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41</w:t>
            </w:r>
          </w:p>
        </w:tc>
        <w:tc>
          <w:tcPr>
            <w:tcW w:w="177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olor w:val="000000"/>
                <w:sz w:val="24"/>
              </w:rPr>
            </w:pPr>
          </w:p>
        </w:tc>
        <w:tc>
          <w:tcPr>
            <w:tcW w:w="1561" w:type="pct"/>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0" w:hRule="atLeast"/>
        </w:trPr>
        <w:tc>
          <w:tcPr>
            <w:tcW w:w="517"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3.1</w:t>
            </w:r>
          </w:p>
        </w:tc>
        <w:tc>
          <w:tcPr>
            <w:tcW w:w="6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技术部分</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sz w:val="24"/>
              </w:rPr>
            </w:pPr>
            <w:r>
              <w:rPr>
                <w:rFonts w:hint="eastAsia" w:asciiTheme="minorEastAsia" w:hAnsiTheme="minorEastAsia" w:eastAsiaTheme="minorEastAsia"/>
                <w:sz w:val="24"/>
              </w:rPr>
              <w:t>33</w:t>
            </w:r>
          </w:p>
        </w:tc>
        <w:tc>
          <w:tcPr>
            <w:tcW w:w="1770" w:type="pct"/>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技术要求的符合性，即对提供货物的技术参数、配置、性能是否符合或优于磋商文件要求进行评价。符合技术要求的得33分；采购清单中带“▲”参数为重要参数，每有一项负偏离的，扣5分；其他参数为一般参数，每有一项负偏离的，扣2分；扣完为止。</w:t>
            </w:r>
          </w:p>
        </w:tc>
        <w:tc>
          <w:tcPr>
            <w:tcW w:w="1561" w:type="pct"/>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b/>
                <w:sz w:val="24"/>
              </w:rPr>
              <w:t>注：响应文件中应提供技术参数的相关证明材料，包括不限于：产品样本或技术手册，检测报告，功能截图，生产厂家（国内总代理）出具的技术证明文件等（如厂家的产品使用说明书为英文版，请同时提供中文版），并注明对应条款供磋商小组评判，否则磋商小组有权视相应技术参数不响应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stheme="minorBidi"/>
                <w:color w:val="000000"/>
                <w:sz w:val="24"/>
              </w:rPr>
            </w:pPr>
            <w:r>
              <w:rPr>
                <w:rFonts w:hint="eastAsia" w:asciiTheme="minorEastAsia" w:hAnsiTheme="minorEastAsia" w:eastAsiaTheme="minorEastAsia"/>
                <w:color w:val="000000"/>
                <w:sz w:val="24"/>
              </w:rPr>
              <w:t>3.2</w:t>
            </w:r>
          </w:p>
        </w:tc>
        <w:tc>
          <w:tcPr>
            <w:tcW w:w="6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stheme="minorBidi"/>
                <w:color w:val="000000"/>
                <w:sz w:val="24"/>
              </w:rPr>
            </w:pPr>
            <w:r>
              <w:rPr>
                <w:rFonts w:hint="eastAsia" w:asciiTheme="minorEastAsia" w:hAnsiTheme="minorEastAsia" w:eastAsiaTheme="minorEastAsia"/>
                <w:color w:val="000000"/>
                <w:sz w:val="24"/>
              </w:rPr>
              <w:t>4</w:t>
            </w:r>
          </w:p>
        </w:tc>
        <w:tc>
          <w:tcPr>
            <w:tcW w:w="1770" w:type="pct"/>
            <w:tcBorders>
              <w:top w:val="single" w:color="auto" w:sz="4" w:space="0"/>
              <w:left w:val="single" w:color="auto" w:sz="4" w:space="0"/>
              <w:bottom w:val="single" w:color="auto" w:sz="4" w:space="0"/>
              <w:right w:val="single" w:color="auto" w:sz="4" w:space="0"/>
            </w:tcBorders>
            <w:vAlign w:val="center"/>
          </w:tcPr>
          <w:p>
            <w:pPr>
              <w:pStyle w:val="56"/>
              <w:spacing w:line="360" w:lineRule="exact"/>
              <w:rPr>
                <w:rFonts w:asciiTheme="minorEastAsia" w:hAnsiTheme="minorEastAsia" w:eastAsiaTheme="minorEastAsia"/>
                <w:b/>
              </w:rPr>
            </w:pPr>
            <w:r>
              <w:rPr>
                <w:rFonts w:hint="eastAsia" w:asciiTheme="minorEastAsia" w:hAnsiTheme="minorEastAsia" w:eastAsiaTheme="minorEastAsia"/>
                <w:color w:val="auto"/>
              </w:rPr>
              <w:t>提供自2020年1月1日以来在国内的销售合同</w:t>
            </w:r>
            <w:r>
              <w:rPr>
                <w:rFonts w:hint="eastAsia" w:asciiTheme="minorEastAsia" w:hAnsiTheme="minorEastAsia" w:eastAsiaTheme="minorEastAsia"/>
                <w:b/>
              </w:rPr>
              <w:t>（合同内产品必须与投标产品为同品牌同型号）</w:t>
            </w:r>
            <w:r>
              <w:rPr>
                <w:rFonts w:hint="eastAsia" w:asciiTheme="minorEastAsia" w:hAnsiTheme="minorEastAsia" w:eastAsiaTheme="minorEastAsia"/>
              </w:rPr>
              <w:t>，每提供一份有效合同得2分，最多得4分。</w:t>
            </w:r>
          </w:p>
        </w:tc>
        <w:tc>
          <w:tcPr>
            <w:tcW w:w="1561" w:type="pct"/>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17"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stheme="minorBidi"/>
                <w:color w:val="000000"/>
                <w:sz w:val="24"/>
              </w:rPr>
            </w:pPr>
            <w:r>
              <w:rPr>
                <w:rFonts w:hint="eastAsia" w:asciiTheme="minorEastAsia" w:hAnsiTheme="minorEastAsia" w:eastAsiaTheme="minorEastAsia"/>
                <w:color w:val="000000"/>
                <w:sz w:val="24"/>
              </w:rPr>
              <w:t>3.3</w:t>
            </w:r>
          </w:p>
        </w:tc>
        <w:tc>
          <w:tcPr>
            <w:tcW w:w="6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质保期</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stheme="minorBidi"/>
                <w:color w:val="000000"/>
                <w:sz w:val="24"/>
              </w:rPr>
            </w:pPr>
            <w:r>
              <w:rPr>
                <w:rFonts w:hint="eastAsia" w:asciiTheme="minorEastAsia" w:hAnsiTheme="minorEastAsia" w:eastAsiaTheme="minorEastAsia"/>
                <w:color w:val="000000"/>
                <w:sz w:val="24"/>
              </w:rPr>
              <w:t>2</w:t>
            </w:r>
          </w:p>
        </w:tc>
        <w:tc>
          <w:tcPr>
            <w:tcW w:w="1770" w:type="pct"/>
            <w:tcBorders>
              <w:top w:val="single" w:color="auto" w:sz="4" w:space="0"/>
              <w:left w:val="single" w:color="auto" w:sz="4" w:space="0"/>
              <w:bottom w:val="single" w:color="auto" w:sz="4" w:space="0"/>
              <w:right w:val="single" w:color="auto" w:sz="4" w:space="0"/>
            </w:tcBorders>
            <w:vAlign w:val="center"/>
          </w:tcPr>
          <w:p>
            <w:pPr>
              <w:pStyle w:val="56"/>
              <w:spacing w:line="360" w:lineRule="exact"/>
              <w:rPr>
                <w:rFonts w:asciiTheme="minorEastAsia" w:hAnsiTheme="minorEastAsia" w:eastAsiaTheme="minorEastAsia"/>
              </w:rPr>
            </w:pPr>
            <w:r>
              <w:rPr>
                <w:rFonts w:hint="eastAsia" w:asciiTheme="minorEastAsia" w:hAnsiTheme="minorEastAsia" w:eastAsiaTheme="minorEastAsia"/>
              </w:rPr>
              <w:t>投标产品的免费保修期满足磋商文件要求的基础上，免费质保期整体延长1年，得2分。本项最高2分。</w:t>
            </w:r>
          </w:p>
        </w:tc>
        <w:tc>
          <w:tcPr>
            <w:tcW w:w="1561" w:type="pct"/>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提供服务承诺书，签字盖章有效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517"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stheme="minorBidi"/>
                <w:color w:val="000000"/>
                <w:sz w:val="24"/>
              </w:rPr>
            </w:pPr>
            <w:r>
              <w:rPr>
                <w:rFonts w:hint="eastAsia" w:asciiTheme="minorEastAsia" w:hAnsiTheme="minorEastAsia" w:eastAsiaTheme="minorEastAsia"/>
                <w:color w:val="000000"/>
                <w:sz w:val="24"/>
              </w:rPr>
              <w:t>3.4</w:t>
            </w:r>
          </w:p>
        </w:tc>
        <w:tc>
          <w:tcPr>
            <w:tcW w:w="6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政府采购政策功能性得分</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stheme="minorBidi"/>
                <w:color w:val="000000"/>
                <w:sz w:val="24"/>
              </w:rPr>
            </w:pPr>
            <w:r>
              <w:rPr>
                <w:rFonts w:hint="eastAsia" w:asciiTheme="minorEastAsia" w:hAnsiTheme="minorEastAsia" w:eastAsiaTheme="minorEastAsia"/>
                <w:color w:val="000000"/>
                <w:sz w:val="24"/>
              </w:rPr>
              <w:t>2</w:t>
            </w:r>
          </w:p>
        </w:tc>
        <w:tc>
          <w:tcPr>
            <w:tcW w:w="1770" w:type="pct"/>
            <w:tcBorders>
              <w:top w:val="single" w:color="auto" w:sz="4" w:space="0"/>
              <w:left w:val="single" w:color="auto" w:sz="4" w:space="0"/>
              <w:bottom w:val="single" w:color="auto" w:sz="4" w:space="0"/>
              <w:right w:val="single" w:color="auto" w:sz="4" w:space="0"/>
            </w:tcBorders>
            <w:vAlign w:val="center"/>
          </w:tcPr>
          <w:p>
            <w:pPr>
              <w:pStyle w:val="56"/>
              <w:spacing w:line="360" w:lineRule="exact"/>
              <w:rPr>
                <w:rFonts w:asciiTheme="minorEastAsia" w:hAnsiTheme="minorEastAsia" w:eastAsiaTheme="minorEastAsia"/>
              </w:rPr>
            </w:pPr>
            <w:r>
              <w:rPr>
                <w:rFonts w:hint="eastAsia" w:asciiTheme="minorEastAsia" w:hAnsiTheme="minorEastAsia" w:eastAsiaTheme="minorEastAsia"/>
              </w:rPr>
              <w:t>磋商主要产品属财政部和发改委公布的《节能产品政府采购品目清单》的，得1分；磋商主要产品属财政部和国家环境保护部公布的《环境标志产品政府采购品目清单》的，得1分。提供国家确定的认证机构出具的、处于有效期之内的节能产品、环境标志产品认证证书。</w:t>
            </w:r>
          </w:p>
        </w:tc>
        <w:tc>
          <w:tcPr>
            <w:tcW w:w="1561" w:type="pct"/>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auto"/>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93" w:type="pct"/>
            <w:gridSpan w:val="2"/>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stheme="minorBidi"/>
                <w:color w:val="000000"/>
                <w:sz w:val="24"/>
              </w:rPr>
            </w:pPr>
            <w:r>
              <w:rPr>
                <w:rFonts w:hint="eastAsia" w:asciiTheme="minorEastAsia" w:hAnsiTheme="minorEastAsia" w:eastAsiaTheme="minorEastAsia"/>
                <w:color w:val="000000"/>
                <w:sz w:val="24"/>
              </w:rPr>
              <w:t>合计</w:t>
            </w:r>
          </w:p>
        </w:tc>
        <w:tc>
          <w:tcPr>
            <w:tcW w:w="476" w:type="pct"/>
            <w:tcBorders>
              <w:top w:val="single" w:color="auto" w:sz="4" w:space="0"/>
              <w:left w:val="single" w:color="auto" w:sz="4" w:space="0"/>
              <w:bottom w:val="single" w:color="auto" w:sz="4" w:space="0"/>
              <w:right w:val="single" w:color="auto" w:sz="4" w:space="0"/>
            </w:tcBorders>
            <w:vAlign w:val="center"/>
          </w:tcPr>
          <w:p>
            <w:pPr>
              <w:ind w:firstLine="28"/>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3331" w:type="pct"/>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sz w:val="24"/>
              </w:rPr>
            </w:pPr>
          </w:p>
        </w:tc>
      </w:tr>
    </w:tbl>
    <w:p>
      <w:pPr>
        <w:spacing w:line="360" w:lineRule="auto"/>
        <w:rPr>
          <w:rFonts w:ascii="宋体" w:hAnsi="宋体" w:cs="宋体"/>
          <w:b/>
          <w:bCs/>
          <w:sz w:val="24"/>
        </w:rPr>
      </w:pPr>
    </w:p>
    <w:p>
      <w:pPr>
        <w:spacing w:line="360" w:lineRule="auto"/>
        <w:jc w:val="left"/>
        <w:rPr>
          <w:rFonts w:ascii="宋体" w:hAnsi="宋体"/>
          <w:bCs/>
          <w:sz w:val="24"/>
          <w:szCs w:val="20"/>
        </w:rPr>
      </w:pPr>
      <w:r>
        <w:rPr>
          <w:rFonts w:hint="eastAsia" w:ascii="宋体" w:hAnsi="宋体" w:cs="宋体"/>
          <w:b/>
          <w:sz w:val="24"/>
        </w:rPr>
        <w:t>注意事项：评分办法中所涉及的相关各种资格、资质、证书、证明、业绩合同等材料在响应文件中提供复印件（加盖供应商公章），要求提供原件现场核查的，另需提供原件核查，否则该项不得分。开标结束之后不再接受供应商提供的任何补充材料。</w:t>
      </w:r>
      <w:r>
        <w:rPr>
          <w:rFonts w:ascii="宋体" w:hAnsi="宋体"/>
          <w:bCs/>
          <w:sz w:val="24"/>
          <w:szCs w:val="20"/>
        </w:rPr>
        <w:br w:type="page"/>
      </w:r>
    </w:p>
    <w:p>
      <w:pPr>
        <w:pStyle w:val="20"/>
        <w:spacing w:line="360" w:lineRule="auto"/>
        <w:rPr>
          <w:rFonts w:ascii="宋体" w:hAnsi="宋体"/>
          <w:sz w:val="28"/>
          <w:szCs w:val="28"/>
        </w:rPr>
      </w:pPr>
      <w:bookmarkStart w:id="44" w:name="_Toc165282396"/>
      <w:r>
        <w:rPr>
          <w:rFonts w:hint="eastAsia" w:ascii="宋体" w:hAnsi="宋体"/>
          <w:sz w:val="28"/>
          <w:szCs w:val="28"/>
        </w:rPr>
        <w:t>第六章 采购合同（格式）</w:t>
      </w:r>
      <w:bookmarkEnd w:id="44"/>
    </w:p>
    <w:p>
      <w:pPr>
        <w:adjustRightInd w:val="0"/>
        <w:snapToGrid w:val="0"/>
        <w:spacing w:line="360" w:lineRule="auto"/>
        <w:jc w:val="center"/>
        <w:rPr>
          <w:rFonts w:ascii="宋体" w:hAnsi="宋体" w:cs="宋体"/>
          <w:szCs w:val="21"/>
        </w:rPr>
      </w:pPr>
      <w:bookmarkStart w:id="82" w:name="_GoBack"/>
      <w:bookmarkStart w:id="45" w:name="_Toc393194384"/>
      <w:r>
        <w:rPr>
          <w:rFonts w:hint="eastAsia" w:ascii="宋体" w:hAnsi="宋体" w:cs="宋体"/>
          <w:b/>
          <w:bCs/>
          <w:sz w:val="30"/>
          <w:szCs w:val="30"/>
        </w:rPr>
        <w:t>成章卫生院高清电子肠镜配套设备采购项目合同</w:t>
      </w:r>
    </w:p>
    <w:p>
      <w:pPr>
        <w:adjustRightInd w:val="0"/>
        <w:snapToGrid w:val="0"/>
        <w:spacing w:line="324" w:lineRule="auto"/>
        <w:rPr>
          <w:rFonts w:hint="default" w:ascii="宋体" w:hAnsi="宋体" w:eastAsia="宋体" w:cs="宋体"/>
          <w:szCs w:val="21"/>
          <w:lang w:val="en-US" w:eastAsia="zh-CN"/>
        </w:rPr>
      </w:pPr>
      <w:r>
        <w:rPr>
          <w:rFonts w:hint="eastAsia" w:ascii="宋体" w:hAnsi="宋体" w:cs="宋体"/>
          <w:szCs w:val="21"/>
        </w:rPr>
        <w:t>甲方：常州市武进区嘉泽镇成章卫生院                             签订地点：</w:t>
      </w:r>
      <w:r>
        <w:rPr>
          <w:rFonts w:hint="eastAsia" w:ascii="宋体" w:hAnsi="宋体" w:cs="宋体"/>
          <w:szCs w:val="21"/>
          <w:lang w:val="en-US" w:eastAsia="zh-CN"/>
        </w:rPr>
        <w:t>江苏·常州</w:t>
      </w:r>
    </w:p>
    <w:p>
      <w:pPr>
        <w:adjustRightInd w:val="0"/>
        <w:snapToGrid w:val="0"/>
        <w:spacing w:line="324" w:lineRule="auto"/>
        <w:rPr>
          <w:rFonts w:ascii="宋体" w:hAnsi="宋体" w:cs="宋体"/>
          <w:szCs w:val="21"/>
        </w:rPr>
      </w:pPr>
      <w:r>
        <w:rPr>
          <w:rFonts w:hint="eastAsia" w:ascii="宋体" w:hAnsi="宋体" w:cs="宋体"/>
          <w:szCs w:val="21"/>
        </w:rPr>
        <w:t>乙方：</w:t>
      </w:r>
      <w:r>
        <w:rPr>
          <w:rFonts w:hint="eastAsia" w:ascii="宋体" w:hAnsi="宋体" w:cs="宋体"/>
          <w:szCs w:val="21"/>
          <w:lang w:val="en-US" w:eastAsia="zh-CN"/>
        </w:rPr>
        <w:t>常州轶凡医疗器材有限公司</w:t>
      </w:r>
      <w:r>
        <w:rPr>
          <w:rFonts w:hint="eastAsia" w:ascii="宋体" w:hAnsi="宋体" w:cs="宋体"/>
          <w:szCs w:val="21"/>
        </w:rPr>
        <w:t xml:space="preserve">                                 签订时间：</w:t>
      </w:r>
      <w:r>
        <w:rPr>
          <w:rFonts w:hint="eastAsia" w:ascii="宋体" w:hAnsi="宋体" w:cs="宋体"/>
          <w:szCs w:val="21"/>
          <w:lang w:val="en-US" w:eastAsia="zh-CN"/>
        </w:rPr>
        <w:t>2024</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w:t>
      </w:r>
    </w:p>
    <w:p>
      <w:pPr>
        <w:adjustRightInd w:val="0"/>
        <w:snapToGrid w:val="0"/>
        <w:spacing w:line="324" w:lineRule="auto"/>
        <w:ind w:firstLine="420" w:firstLineChars="200"/>
        <w:rPr>
          <w:rFonts w:ascii="宋体" w:hAnsi="宋体" w:cs="宋体"/>
          <w:szCs w:val="21"/>
        </w:rPr>
      </w:pPr>
      <w:r>
        <w:rPr>
          <w:rFonts w:hint="eastAsia" w:ascii="宋体" w:hAnsi="宋体" w:cs="宋体"/>
          <w:szCs w:val="21"/>
        </w:rPr>
        <w:t>根据常州新禾招投标有限公司进行的（</w:t>
      </w:r>
      <w:r>
        <w:rPr>
          <w:rFonts w:hint="eastAsia" w:ascii="宋体" w:hAnsi="宋体" w:cs="宋体"/>
          <w:szCs w:val="21"/>
          <w:u w:val="single"/>
        </w:rPr>
        <w:t xml:space="preserve">JZCG-2024002 </w:t>
      </w:r>
      <w:r>
        <w:rPr>
          <w:rFonts w:hint="eastAsia" w:ascii="宋体" w:hAnsi="宋体" w:cs="宋体"/>
          <w:szCs w:val="21"/>
        </w:rPr>
        <w:t>号）采购，甲、乙、代理采购机构三方就乙方中标的（</w:t>
      </w:r>
      <w:r>
        <w:rPr>
          <w:rFonts w:hint="eastAsia" w:ascii="宋体" w:hAnsi="宋体" w:cs="宋体"/>
          <w:szCs w:val="21"/>
          <w:u w:val="single"/>
        </w:rPr>
        <w:t>JZCG-2024002</w:t>
      </w:r>
      <w:r>
        <w:rPr>
          <w:rFonts w:hint="eastAsia" w:ascii="宋体" w:hAnsi="宋体" w:cs="宋体"/>
          <w:szCs w:val="21"/>
        </w:rPr>
        <w:t>号）</w:t>
      </w:r>
      <w:r>
        <w:rPr>
          <w:rFonts w:hint="eastAsia" w:ascii="宋体" w:hAnsi="宋体" w:cs="宋体"/>
          <w:szCs w:val="21"/>
          <w:u w:val="single"/>
          <w:lang w:val="en-US" w:eastAsia="zh-CN"/>
        </w:rPr>
        <w:t>成章卫生院高清电子肠镜配套设备采购</w:t>
      </w:r>
      <w:r>
        <w:rPr>
          <w:rFonts w:hint="eastAsia" w:ascii="宋体" w:hAnsi="宋体" w:cs="宋体"/>
          <w:szCs w:val="21"/>
        </w:rPr>
        <w:t>项目，本着平等互利的原则，通过共同协商，根据《中华人民共和国政府采购法》、</w:t>
      </w:r>
      <w:r>
        <w:rPr>
          <w:rFonts w:hint="eastAsia" w:ascii="宋体" w:hAnsi="宋体" w:cs="宋体"/>
          <w:color w:val="000000"/>
          <w:szCs w:val="21"/>
        </w:rPr>
        <w:t>《中华人民共和国</w:t>
      </w:r>
      <w:r>
        <w:rPr>
          <w:rFonts w:hint="eastAsia" w:hAnsi="宋体" w:cs="宋体"/>
          <w:color w:val="000000"/>
          <w:szCs w:val="21"/>
        </w:rPr>
        <w:t>民法典</w:t>
      </w:r>
      <w:r>
        <w:rPr>
          <w:rFonts w:hint="eastAsia" w:ascii="宋体" w:hAnsi="宋体" w:cs="宋体"/>
          <w:color w:val="000000"/>
          <w:szCs w:val="21"/>
        </w:rPr>
        <w:t>》</w:t>
      </w:r>
      <w:r>
        <w:rPr>
          <w:rFonts w:hint="eastAsia" w:ascii="宋体" w:hAnsi="宋体" w:cs="宋体"/>
          <w:szCs w:val="21"/>
        </w:rPr>
        <w:t>及有关法律法规，就相关事宜达成如下合同。</w:t>
      </w:r>
    </w:p>
    <w:p>
      <w:pPr>
        <w:adjustRightInd w:val="0"/>
        <w:snapToGrid w:val="0"/>
        <w:spacing w:line="324" w:lineRule="auto"/>
        <w:rPr>
          <w:rFonts w:ascii="宋体" w:hAnsi="宋体" w:cs="宋体"/>
          <w:b/>
          <w:bCs/>
          <w:szCs w:val="21"/>
        </w:rPr>
      </w:pPr>
      <w:r>
        <w:rPr>
          <w:rFonts w:hint="eastAsia" w:ascii="宋体" w:hAnsi="宋体" w:cs="宋体"/>
          <w:b/>
          <w:bCs/>
          <w:szCs w:val="21"/>
        </w:rPr>
        <w:t>一、总则</w:t>
      </w:r>
    </w:p>
    <w:p>
      <w:pPr>
        <w:adjustRightInd w:val="0"/>
        <w:snapToGrid w:val="0"/>
        <w:spacing w:line="324" w:lineRule="auto"/>
        <w:rPr>
          <w:rFonts w:ascii="宋体" w:hAnsi="宋体" w:cs="宋体"/>
          <w:szCs w:val="21"/>
        </w:rPr>
      </w:pPr>
      <w:r>
        <w:rPr>
          <w:rFonts w:hint="eastAsia" w:ascii="宋体" w:hAnsi="宋体" w:cs="宋体"/>
          <w:szCs w:val="21"/>
        </w:rPr>
        <w:t>乙方按甲方要求，为甲方提供的（</w:t>
      </w:r>
      <w:r>
        <w:rPr>
          <w:rFonts w:hint="eastAsia" w:ascii="宋体" w:hAnsi="宋体" w:cs="宋体"/>
          <w:szCs w:val="21"/>
          <w:u w:val="single"/>
        </w:rPr>
        <w:t>JZCG-2024002</w:t>
      </w:r>
      <w:r>
        <w:rPr>
          <w:rFonts w:hint="eastAsia" w:ascii="宋体" w:hAnsi="宋体" w:cs="宋体"/>
          <w:szCs w:val="21"/>
        </w:rPr>
        <w:t>号）项目服务；合同金额为人民币大写：</w:t>
      </w:r>
      <w:r>
        <w:rPr>
          <w:rFonts w:hint="eastAsia" w:ascii="宋体" w:hAnsi="宋体" w:cs="宋体"/>
          <w:szCs w:val="21"/>
          <w:u w:val="single"/>
          <w:lang w:val="en-US" w:eastAsia="zh-CN"/>
        </w:rPr>
        <w:t>肆拾贰万叁仟肆佰</w:t>
      </w:r>
      <w:r>
        <w:rPr>
          <w:rFonts w:hint="eastAsia" w:ascii="宋体" w:hAnsi="宋体" w:cs="宋体"/>
          <w:szCs w:val="21"/>
        </w:rPr>
        <w:t>元整，小写：</w:t>
      </w:r>
      <w:r>
        <w:rPr>
          <w:rFonts w:hint="eastAsia" w:ascii="宋体" w:hAnsi="宋体" w:cs="宋体"/>
          <w:szCs w:val="21"/>
          <w:u w:val="single"/>
          <w:lang w:val="en-US" w:eastAsia="zh-CN"/>
        </w:rPr>
        <w:t>423400.00</w:t>
      </w:r>
      <w:r>
        <w:rPr>
          <w:rFonts w:hint="eastAsia" w:ascii="宋体" w:hAnsi="宋体" w:cs="宋体"/>
          <w:szCs w:val="21"/>
          <w:u w:val="none"/>
          <w:lang w:val="en-US" w:eastAsia="zh-CN"/>
        </w:rPr>
        <w:t>元整</w:t>
      </w:r>
      <w:r>
        <w:rPr>
          <w:rFonts w:hint="eastAsia" w:ascii="宋体" w:hAnsi="宋体" w:cs="宋体"/>
          <w:szCs w:val="21"/>
        </w:rPr>
        <w:t>。</w:t>
      </w:r>
    </w:p>
    <w:p>
      <w:pPr>
        <w:adjustRightInd w:val="0"/>
        <w:snapToGrid w:val="0"/>
        <w:spacing w:line="324" w:lineRule="auto"/>
        <w:rPr>
          <w:rFonts w:ascii="宋体" w:hAnsi="宋体" w:cs="宋体"/>
          <w:szCs w:val="21"/>
        </w:rPr>
      </w:pPr>
      <w:r>
        <w:rPr>
          <w:rFonts w:hint="eastAsia" w:ascii="宋体" w:hAnsi="宋体" w:cs="宋体"/>
          <w:szCs w:val="21"/>
        </w:rPr>
        <w:t>项目的具体服务要求见代理采购机构的招标文件。</w:t>
      </w:r>
    </w:p>
    <w:p>
      <w:pPr>
        <w:adjustRightInd w:val="0"/>
        <w:snapToGrid w:val="0"/>
        <w:spacing w:line="324" w:lineRule="auto"/>
        <w:rPr>
          <w:rFonts w:ascii="宋体" w:hAnsi="宋体" w:cs="宋体"/>
          <w:b/>
          <w:bCs/>
          <w:szCs w:val="21"/>
        </w:rPr>
      </w:pPr>
      <w:r>
        <w:rPr>
          <w:rFonts w:hint="eastAsia" w:ascii="宋体" w:hAnsi="宋体" w:cs="宋体"/>
          <w:b/>
          <w:bCs/>
          <w:szCs w:val="21"/>
        </w:rPr>
        <w:t>二、合同文件</w:t>
      </w:r>
    </w:p>
    <w:p>
      <w:pPr>
        <w:adjustRightInd w:val="0"/>
        <w:snapToGrid w:val="0"/>
        <w:spacing w:line="324" w:lineRule="auto"/>
        <w:rPr>
          <w:rFonts w:ascii="宋体" w:hAnsi="宋体" w:cs="宋体"/>
          <w:szCs w:val="21"/>
        </w:rPr>
      </w:pPr>
      <w:r>
        <w:rPr>
          <w:rFonts w:hint="eastAsia" w:ascii="宋体" w:hAnsi="宋体" w:cs="宋体"/>
          <w:szCs w:val="21"/>
        </w:rPr>
        <w:t>下列文件是构成合同不可分割的部分，并与本合同具有同等法律效力，这些文件包括但不限于：</w:t>
      </w:r>
    </w:p>
    <w:p>
      <w:pPr>
        <w:adjustRightInd w:val="0"/>
        <w:snapToGrid w:val="0"/>
        <w:spacing w:line="324" w:lineRule="auto"/>
        <w:rPr>
          <w:rFonts w:ascii="宋体" w:hAnsi="宋体" w:cs="宋体"/>
          <w:szCs w:val="21"/>
        </w:rPr>
      </w:pPr>
      <w:r>
        <w:rPr>
          <w:rFonts w:hint="eastAsia" w:ascii="宋体" w:hAnsi="宋体" w:cs="宋体"/>
          <w:szCs w:val="21"/>
        </w:rPr>
        <w:t>1、（</w:t>
      </w:r>
      <w:r>
        <w:rPr>
          <w:rFonts w:hint="eastAsia" w:ascii="宋体" w:hAnsi="宋体" w:cs="宋体"/>
          <w:szCs w:val="21"/>
          <w:u w:val="single"/>
        </w:rPr>
        <w:t>JZCG-2024002</w:t>
      </w:r>
      <w:r>
        <w:rPr>
          <w:rFonts w:hint="eastAsia" w:ascii="宋体" w:hAnsi="宋体" w:cs="宋体"/>
          <w:szCs w:val="21"/>
        </w:rPr>
        <w:t>号）项目招标文件。</w:t>
      </w:r>
    </w:p>
    <w:p>
      <w:pPr>
        <w:adjustRightInd w:val="0"/>
        <w:snapToGrid w:val="0"/>
        <w:spacing w:line="324" w:lineRule="auto"/>
        <w:rPr>
          <w:rFonts w:ascii="宋体" w:hAnsi="宋体" w:cs="宋体"/>
          <w:szCs w:val="21"/>
        </w:rPr>
      </w:pPr>
      <w:r>
        <w:rPr>
          <w:rFonts w:hint="eastAsia" w:ascii="宋体" w:hAnsi="宋体" w:cs="宋体"/>
          <w:szCs w:val="21"/>
        </w:rPr>
        <w:t>2、乙方提交的投标文件。</w:t>
      </w:r>
    </w:p>
    <w:p>
      <w:pPr>
        <w:adjustRightInd w:val="0"/>
        <w:snapToGrid w:val="0"/>
        <w:spacing w:line="324" w:lineRule="auto"/>
        <w:rPr>
          <w:rFonts w:ascii="宋体" w:hAnsi="宋体" w:cs="宋体"/>
          <w:szCs w:val="21"/>
        </w:rPr>
      </w:pPr>
      <w:r>
        <w:rPr>
          <w:rFonts w:hint="eastAsia" w:ascii="宋体" w:hAnsi="宋体" w:cs="宋体"/>
          <w:szCs w:val="21"/>
        </w:rPr>
        <w:t>3、乙方投标的其他资料及承诺。</w:t>
      </w:r>
    </w:p>
    <w:p>
      <w:pPr>
        <w:adjustRightInd w:val="0"/>
        <w:snapToGrid w:val="0"/>
        <w:spacing w:line="324" w:lineRule="auto"/>
        <w:rPr>
          <w:rFonts w:ascii="宋体" w:hAnsi="宋体" w:cs="宋体"/>
          <w:szCs w:val="21"/>
        </w:rPr>
      </w:pPr>
      <w:r>
        <w:rPr>
          <w:rFonts w:hint="eastAsia" w:ascii="宋体" w:hAnsi="宋体" w:cs="宋体"/>
          <w:b/>
          <w:bCs/>
          <w:szCs w:val="21"/>
        </w:rPr>
        <w:t>三、采购内容：详情见采购文件</w:t>
      </w:r>
    </w:p>
    <w:p>
      <w:pPr>
        <w:numPr>
          <w:ilvl w:val="0"/>
          <w:numId w:val="2"/>
        </w:numPr>
        <w:adjustRightInd w:val="0"/>
        <w:snapToGrid w:val="0"/>
        <w:spacing w:line="324" w:lineRule="auto"/>
        <w:rPr>
          <w:rFonts w:ascii="宋体" w:hAnsi="宋体" w:cs="宋体"/>
          <w:b/>
          <w:bCs/>
          <w:szCs w:val="21"/>
        </w:rPr>
      </w:pPr>
      <w:r>
        <w:rPr>
          <w:rFonts w:hint="eastAsia" w:ascii="宋体" w:hAnsi="宋体" w:cs="宋体"/>
          <w:b/>
          <w:bCs/>
          <w:szCs w:val="21"/>
        </w:rPr>
        <w:t>供货期：20日历日</w:t>
      </w:r>
    </w:p>
    <w:p>
      <w:pPr>
        <w:adjustRightInd w:val="0"/>
        <w:snapToGrid w:val="0"/>
        <w:spacing w:line="324" w:lineRule="auto"/>
        <w:rPr>
          <w:rFonts w:ascii="宋体" w:hAnsi="宋体" w:cs="宋体"/>
          <w:b/>
          <w:bCs/>
          <w:szCs w:val="21"/>
        </w:rPr>
      </w:pPr>
      <w:r>
        <w:rPr>
          <w:rFonts w:hint="eastAsia" w:ascii="宋体" w:hAnsi="宋体" w:cs="宋体"/>
          <w:b/>
          <w:bCs/>
          <w:szCs w:val="21"/>
        </w:rPr>
        <w:t>五、质保期限：免费质保一年</w:t>
      </w:r>
    </w:p>
    <w:p>
      <w:pPr>
        <w:adjustRightInd w:val="0"/>
        <w:snapToGrid w:val="0"/>
        <w:spacing w:line="324" w:lineRule="auto"/>
        <w:rPr>
          <w:rFonts w:ascii="宋体" w:hAnsi="宋体" w:cs="宋体"/>
          <w:b/>
          <w:bCs/>
          <w:szCs w:val="21"/>
        </w:rPr>
      </w:pPr>
      <w:r>
        <w:rPr>
          <w:rFonts w:hint="eastAsia" w:ascii="宋体" w:hAnsi="宋体" w:cs="宋体"/>
          <w:b/>
          <w:bCs/>
          <w:szCs w:val="21"/>
        </w:rPr>
        <w:t>六、付款及结算方式：本项目无预付款，经采购人验收合格后支付合同总价的95%，余款免费质保期满后付清。</w:t>
      </w:r>
    </w:p>
    <w:p>
      <w:pPr>
        <w:adjustRightInd w:val="0"/>
        <w:snapToGrid w:val="0"/>
        <w:spacing w:line="324" w:lineRule="auto"/>
        <w:rPr>
          <w:rFonts w:ascii="宋体" w:hAnsi="宋体" w:cs="宋体"/>
          <w:b/>
          <w:bCs/>
          <w:szCs w:val="21"/>
        </w:rPr>
      </w:pPr>
      <w:r>
        <w:rPr>
          <w:rFonts w:hint="eastAsia" w:ascii="宋体" w:hAnsi="宋体" w:cs="宋体"/>
          <w:b/>
          <w:bCs/>
          <w:szCs w:val="21"/>
        </w:rPr>
        <w:t>七、质量要求</w:t>
      </w:r>
    </w:p>
    <w:p>
      <w:pPr>
        <w:adjustRightInd w:val="0"/>
        <w:snapToGrid w:val="0"/>
        <w:spacing w:line="324" w:lineRule="auto"/>
        <w:rPr>
          <w:rFonts w:ascii="宋体" w:hAnsi="宋体" w:cs="宋体"/>
          <w:szCs w:val="21"/>
        </w:rPr>
      </w:pPr>
      <w:r>
        <w:rPr>
          <w:rFonts w:hint="eastAsia" w:ascii="宋体" w:hAnsi="宋体" w:cs="宋体"/>
          <w:szCs w:val="21"/>
        </w:rPr>
        <w:t>1、乙方须提供全新的货物表面无划伤，且权属清楚，不得侵害他人的知识产权。</w:t>
      </w:r>
    </w:p>
    <w:p>
      <w:pPr>
        <w:adjustRightInd w:val="0"/>
        <w:snapToGrid w:val="0"/>
        <w:spacing w:line="324" w:lineRule="auto"/>
        <w:rPr>
          <w:rFonts w:ascii="宋体" w:hAnsi="宋体" w:cs="宋体"/>
          <w:szCs w:val="21"/>
        </w:rPr>
      </w:pPr>
      <w:r>
        <w:rPr>
          <w:rFonts w:hint="eastAsia" w:ascii="宋体" w:hAnsi="宋体" w:cs="宋体"/>
          <w:szCs w:val="21"/>
        </w:rPr>
        <w:t>2、货物必须符合或优于国家行业标准，以及本项目招标文件的质量要求和技术指标与出厂标准。</w:t>
      </w:r>
    </w:p>
    <w:p>
      <w:pPr>
        <w:adjustRightInd w:val="0"/>
        <w:snapToGrid w:val="0"/>
        <w:spacing w:line="324" w:lineRule="auto"/>
        <w:rPr>
          <w:rFonts w:ascii="宋体" w:hAnsi="宋体" w:cs="宋体"/>
          <w:szCs w:val="21"/>
        </w:rPr>
      </w:pPr>
      <w:r>
        <w:rPr>
          <w:rFonts w:hint="eastAsia" w:ascii="宋体" w:hAnsi="宋体" w:cs="宋体"/>
          <w:szCs w:val="21"/>
        </w:rPr>
        <w:t>3、货物制造质量出现问题， 乙方应负责三包(包修、包换、包退)，费用由乙方负担，甲方有权到乙方生产场地检查货物质量和生产进度。</w:t>
      </w:r>
    </w:p>
    <w:p>
      <w:pPr>
        <w:adjustRightInd w:val="0"/>
        <w:snapToGrid w:val="0"/>
        <w:spacing w:line="324" w:lineRule="auto"/>
        <w:rPr>
          <w:rFonts w:ascii="宋体" w:hAnsi="宋体" w:cs="宋体"/>
          <w:szCs w:val="21"/>
        </w:rPr>
      </w:pPr>
      <w:r>
        <w:rPr>
          <w:rFonts w:hint="eastAsia" w:ascii="宋体" w:hAnsi="宋体" w:cs="宋体"/>
          <w:szCs w:val="21"/>
        </w:rPr>
        <w:t>4、货到现场后由于甲方保管不当造成的质量问题，乙方亦应负责修理，但费用由甲方负担。</w:t>
      </w:r>
    </w:p>
    <w:p>
      <w:pPr>
        <w:adjustRightInd w:val="0"/>
        <w:snapToGrid w:val="0"/>
        <w:spacing w:line="324" w:lineRule="auto"/>
        <w:rPr>
          <w:rFonts w:ascii="宋体" w:hAnsi="宋体" w:cs="宋体"/>
          <w:b/>
          <w:bCs/>
          <w:szCs w:val="21"/>
        </w:rPr>
      </w:pPr>
      <w:r>
        <w:rPr>
          <w:rFonts w:hint="eastAsia" w:ascii="宋体" w:hAnsi="宋体" w:cs="宋体"/>
          <w:b/>
          <w:bCs/>
          <w:szCs w:val="21"/>
        </w:rPr>
        <w:t>八、质量保证和售后服务要求</w:t>
      </w:r>
    </w:p>
    <w:p>
      <w:pPr>
        <w:adjustRightInd w:val="0"/>
        <w:snapToGrid w:val="0"/>
        <w:spacing w:line="324" w:lineRule="auto"/>
        <w:rPr>
          <w:rFonts w:ascii="宋体" w:hAnsi="宋体" w:cs="宋体"/>
          <w:szCs w:val="21"/>
        </w:rPr>
      </w:pPr>
      <w:r>
        <w:rPr>
          <w:rFonts w:hint="eastAsia" w:ascii="宋体" w:hAnsi="宋体" w:cs="宋体"/>
          <w:szCs w:val="21"/>
        </w:rPr>
        <w:t>1、符合国家“三包法”要求。如货物有质量问题，在保修期内需免费更换，超过保修期需免费修补。</w:t>
      </w:r>
    </w:p>
    <w:p>
      <w:pPr>
        <w:adjustRightInd w:val="0"/>
        <w:snapToGrid w:val="0"/>
        <w:spacing w:line="324" w:lineRule="auto"/>
        <w:rPr>
          <w:rFonts w:ascii="宋体" w:hAnsi="宋体" w:cs="宋体"/>
          <w:szCs w:val="21"/>
        </w:rPr>
      </w:pPr>
      <w:r>
        <w:rPr>
          <w:rFonts w:hint="eastAsia" w:ascii="宋体" w:hAnsi="宋体" w:cs="宋体"/>
          <w:szCs w:val="21"/>
        </w:rPr>
        <w:t>2、中标单位所供的货物必须提供至少一年免费质保期（质保期的计算自产品交付到指定地点并验收合格后开始计算），在质量保证期内如出现产品质量问题，中标单位应及时包修、包换，并在15天内完成。</w:t>
      </w:r>
    </w:p>
    <w:p>
      <w:pPr>
        <w:adjustRightInd w:val="0"/>
        <w:snapToGrid w:val="0"/>
        <w:spacing w:line="324" w:lineRule="auto"/>
        <w:rPr>
          <w:rFonts w:ascii="宋体" w:hAnsi="宋体" w:cs="宋体"/>
          <w:b/>
          <w:bCs/>
          <w:szCs w:val="21"/>
        </w:rPr>
      </w:pPr>
      <w:r>
        <w:rPr>
          <w:rFonts w:hint="eastAsia" w:ascii="宋体" w:hAnsi="宋体" w:cs="宋体"/>
          <w:b/>
          <w:bCs/>
          <w:szCs w:val="21"/>
        </w:rPr>
        <w:t>九、包装、运输要求</w:t>
      </w:r>
    </w:p>
    <w:p>
      <w:pPr>
        <w:adjustRightInd w:val="0"/>
        <w:snapToGrid w:val="0"/>
        <w:spacing w:line="324" w:lineRule="auto"/>
        <w:rPr>
          <w:rFonts w:ascii="宋体" w:hAnsi="宋体" w:cs="宋体"/>
          <w:szCs w:val="21"/>
        </w:rPr>
      </w:pPr>
      <w:r>
        <w:rPr>
          <w:rFonts w:hint="eastAsia" w:ascii="宋体" w:hAnsi="宋体" w:cs="宋体"/>
          <w:szCs w:val="21"/>
        </w:rPr>
        <w:t>1、货物的包装应符合国家或行业包装标准，按照FZ/80002-91《货物标志、包装、运输和贮存》标准运输和包装。中标单位在交货打包时应按甲方要求分装并在包装箱盒上标明数量、品目、单位等相关信息，以便甲方查收及发放。其中包装费、运输费由中标单位承担。</w:t>
      </w:r>
    </w:p>
    <w:p>
      <w:pPr>
        <w:adjustRightInd w:val="0"/>
        <w:snapToGrid w:val="0"/>
        <w:spacing w:line="324" w:lineRule="auto"/>
        <w:rPr>
          <w:rFonts w:ascii="宋体" w:hAnsi="宋体" w:cs="宋体"/>
          <w:szCs w:val="21"/>
        </w:rPr>
      </w:pPr>
      <w:r>
        <w:rPr>
          <w:rFonts w:hint="eastAsia" w:ascii="宋体" w:hAnsi="宋体" w:cs="宋体"/>
          <w:szCs w:val="21"/>
        </w:rPr>
        <w:t>2、乙方负责运输、装卸全过程，并按甲方指定地点存放, 运输和装卸费用由乙方承担。在配送运输中要确保安全，在配送中发生安全事故，乙方承担一切责任。</w:t>
      </w:r>
    </w:p>
    <w:p>
      <w:pPr>
        <w:adjustRightInd w:val="0"/>
        <w:snapToGrid w:val="0"/>
        <w:spacing w:line="324" w:lineRule="auto"/>
        <w:rPr>
          <w:rFonts w:ascii="宋体" w:hAnsi="宋体" w:cs="宋体"/>
          <w:b/>
          <w:bCs/>
          <w:szCs w:val="21"/>
        </w:rPr>
      </w:pPr>
      <w:r>
        <w:rPr>
          <w:rFonts w:hint="eastAsia" w:ascii="宋体" w:hAnsi="宋体" w:cs="宋体"/>
          <w:b/>
          <w:bCs/>
          <w:szCs w:val="21"/>
        </w:rPr>
        <w:t>十、验收</w:t>
      </w:r>
    </w:p>
    <w:p>
      <w:pPr>
        <w:adjustRightInd w:val="0"/>
        <w:snapToGrid w:val="0"/>
        <w:spacing w:line="324" w:lineRule="auto"/>
        <w:rPr>
          <w:rFonts w:ascii="宋体" w:hAnsi="宋体" w:cs="宋体"/>
          <w:szCs w:val="21"/>
        </w:rPr>
      </w:pPr>
      <w:r>
        <w:rPr>
          <w:rFonts w:hint="eastAsia" w:ascii="宋体" w:hAnsi="宋体" w:cs="宋体"/>
          <w:szCs w:val="21"/>
        </w:rPr>
        <w:t>1、批量产品的验收将按招标文件中的技术标准及要求进行。</w:t>
      </w:r>
    </w:p>
    <w:p>
      <w:pPr>
        <w:adjustRightInd w:val="0"/>
        <w:snapToGrid w:val="0"/>
        <w:spacing w:line="324" w:lineRule="auto"/>
        <w:rPr>
          <w:rFonts w:ascii="宋体" w:hAnsi="宋体" w:cs="宋体"/>
          <w:szCs w:val="21"/>
        </w:rPr>
      </w:pPr>
      <w:r>
        <w:rPr>
          <w:rFonts w:hint="eastAsia" w:ascii="宋体" w:hAnsi="宋体" w:cs="宋体"/>
          <w:szCs w:val="21"/>
        </w:rPr>
        <w:t>2、采购人在合同期内，有权随机抽检成品，送相应的检验机构进行检测。</w:t>
      </w:r>
    </w:p>
    <w:p>
      <w:pPr>
        <w:adjustRightInd w:val="0"/>
        <w:snapToGrid w:val="0"/>
        <w:spacing w:line="324" w:lineRule="auto"/>
        <w:rPr>
          <w:rFonts w:ascii="宋体" w:hAnsi="宋体" w:cs="宋体"/>
          <w:szCs w:val="21"/>
        </w:rPr>
      </w:pPr>
      <w:r>
        <w:rPr>
          <w:rFonts w:hint="eastAsia" w:ascii="宋体" w:hAnsi="宋体" w:cs="宋体"/>
          <w:szCs w:val="21"/>
        </w:rPr>
        <w:t>3、货物到位后甲方和乙方在3个工作日内共同开箱检验货物的质量状况和数量，甲、乙双方应按照合同验收，并签字确认。</w:t>
      </w:r>
    </w:p>
    <w:p>
      <w:pPr>
        <w:adjustRightInd w:val="0"/>
        <w:snapToGrid w:val="0"/>
        <w:spacing w:line="324" w:lineRule="auto"/>
        <w:rPr>
          <w:rFonts w:ascii="宋体" w:hAnsi="宋体" w:cs="宋体"/>
          <w:szCs w:val="21"/>
        </w:rPr>
      </w:pPr>
      <w:r>
        <w:rPr>
          <w:rFonts w:hint="eastAsia" w:ascii="宋体" w:hAnsi="宋体" w:cs="宋体"/>
          <w:szCs w:val="21"/>
        </w:rPr>
        <w:t>4、对货物本身的质量问题，甲方向乙方提出，乙方应无条件予以解决。</w:t>
      </w:r>
    </w:p>
    <w:p>
      <w:pPr>
        <w:adjustRightInd w:val="0"/>
        <w:snapToGrid w:val="0"/>
        <w:spacing w:line="324" w:lineRule="auto"/>
        <w:rPr>
          <w:rFonts w:ascii="宋体" w:hAnsi="宋体" w:cs="宋体"/>
          <w:szCs w:val="21"/>
        </w:rPr>
      </w:pPr>
      <w:r>
        <w:rPr>
          <w:rFonts w:hint="eastAsia" w:ascii="宋体" w:hAnsi="宋体" w:cs="宋体"/>
          <w:szCs w:val="21"/>
        </w:rPr>
        <w:t>5、检测合格才能交货，检测不合格的，中标单位应及时包换，再次检验不合格的，按“卖方履约延误和误期赔偿费”条款处理，所造成的一切损失由中标单位承担。</w:t>
      </w:r>
    </w:p>
    <w:p>
      <w:pPr>
        <w:adjustRightInd w:val="0"/>
        <w:snapToGrid w:val="0"/>
        <w:spacing w:line="324" w:lineRule="auto"/>
        <w:rPr>
          <w:rFonts w:ascii="宋体" w:hAnsi="宋体" w:cs="宋体"/>
          <w:b/>
          <w:bCs/>
          <w:szCs w:val="21"/>
        </w:rPr>
      </w:pPr>
      <w:r>
        <w:rPr>
          <w:rFonts w:hint="eastAsia" w:ascii="宋体" w:hAnsi="宋体" w:cs="宋体"/>
          <w:b/>
          <w:bCs/>
          <w:szCs w:val="21"/>
        </w:rPr>
        <w:t>十一、其他要求</w:t>
      </w:r>
    </w:p>
    <w:p>
      <w:pPr>
        <w:adjustRightInd w:val="0"/>
        <w:snapToGrid w:val="0"/>
        <w:spacing w:line="324" w:lineRule="auto"/>
        <w:rPr>
          <w:rFonts w:ascii="宋体" w:hAnsi="宋体" w:cs="宋体"/>
          <w:szCs w:val="21"/>
        </w:rPr>
      </w:pPr>
      <w:r>
        <w:rPr>
          <w:rFonts w:hint="eastAsia" w:ascii="宋体" w:hAnsi="宋体" w:cs="宋体"/>
          <w:szCs w:val="21"/>
        </w:rPr>
        <w:t>本合同所有货物不得分包给其他单位；未经买方同意，卖方不得为采购人以外的用户生产招标文件中的同类货物；否则，买方有权按违约处理。</w:t>
      </w:r>
    </w:p>
    <w:p>
      <w:pPr>
        <w:adjustRightInd w:val="0"/>
        <w:snapToGrid w:val="0"/>
        <w:spacing w:line="324" w:lineRule="auto"/>
        <w:rPr>
          <w:rFonts w:ascii="宋体" w:hAnsi="宋体" w:cs="宋体"/>
          <w:szCs w:val="21"/>
        </w:rPr>
      </w:pPr>
      <w:r>
        <w:rPr>
          <w:rFonts w:hint="eastAsia" w:ascii="宋体" w:hAnsi="宋体" w:cs="宋体"/>
          <w:szCs w:val="21"/>
        </w:rPr>
        <w:t>对采购人单位所有员工明细尺码及形体特征进行建档，方便日后随时追加订单、修改，并提供相关资料交采购人单位留底。</w:t>
      </w:r>
    </w:p>
    <w:p>
      <w:pPr>
        <w:adjustRightInd w:val="0"/>
        <w:snapToGrid w:val="0"/>
        <w:spacing w:line="324" w:lineRule="auto"/>
        <w:rPr>
          <w:rFonts w:ascii="宋体" w:hAnsi="宋体" w:cs="宋体"/>
          <w:b/>
          <w:bCs/>
          <w:szCs w:val="21"/>
        </w:rPr>
      </w:pPr>
      <w:r>
        <w:rPr>
          <w:rFonts w:hint="eastAsia" w:ascii="宋体" w:hAnsi="宋体" w:cs="宋体"/>
          <w:b/>
          <w:bCs/>
          <w:szCs w:val="21"/>
        </w:rPr>
        <w:t>十二、违约责任</w:t>
      </w:r>
    </w:p>
    <w:p>
      <w:pPr>
        <w:adjustRightInd w:val="0"/>
        <w:snapToGrid w:val="0"/>
        <w:spacing w:line="324" w:lineRule="auto"/>
        <w:rPr>
          <w:rFonts w:ascii="宋体" w:hAnsi="宋体" w:cs="宋体"/>
          <w:szCs w:val="21"/>
        </w:rPr>
      </w:pPr>
      <w:r>
        <w:rPr>
          <w:rFonts w:hint="eastAsia" w:ascii="宋体" w:hAnsi="宋体" w:cs="宋体"/>
          <w:szCs w:val="21"/>
        </w:rPr>
        <w:t>1、卖方履约延误</w:t>
      </w:r>
    </w:p>
    <w:p>
      <w:pPr>
        <w:adjustRightInd w:val="0"/>
        <w:snapToGrid w:val="0"/>
        <w:spacing w:line="324" w:lineRule="auto"/>
        <w:rPr>
          <w:rFonts w:ascii="宋体" w:hAnsi="宋体" w:cs="宋体"/>
          <w:szCs w:val="21"/>
        </w:rPr>
      </w:pPr>
      <w:r>
        <w:rPr>
          <w:rFonts w:hint="eastAsia" w:ascii="宋体" w:hAnsi="宋体" w:cs="宋体"/>
          <w:szCs w:val="21"/>
        </w:rPr>
        <w:t xml:space="preserve">① 卖方应按合同规定的时间按期交货和提供服务（不可抗力除外）。 </w:t>
      </w:r>
    </w:p>
    <w:p>
      <w:pPr>
        <w:adjustRightInd w:val="0"/>
        <w:snapToGrid w:val="0"/>
        <w:spacing w:line="324" w:lineRule="auto"/>
        <w:rPr>
          <w:rFonts w:ascii="宋体" w:hAnsi="宋体" w:cs="宋体"/>
          <w:szCs w:val="21"/>
        </w:rPr>
      </w:pPr>
      <w:r>
        <w:rPr>
          <w:rFonts w:hint="eastAsia" w:ascii="宋体" w:hAnsi="宋体" w:cs="宋体"/>
          <w:szCs w:val="21"/>
        </w:rPr>
        <w:t>② 在履行合同过程中，如果卖方不能按时交货，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adjustRightInd w:val="0"/>
        <w:snapToGrid w:val="0"/>
        <w:spacing w:line="324" w:lineRule="auto"/>
        <w:rPr>
          <w:rFonts w:ascii="宋体" w:hAnsi="宋体" w:cs="宋体"/>
          <w:szCs w:val="21"/>
        </w:rPr>
      </w:pPr>
      <w:r>
        <w:rPr>
          <w:rFonts w:hint="eastAsia" w:ascii="宋体" w:hAnsi="宋体" w:cs="宋体"/>
          <w:szCs w:val="21"/>
        </w:rPr>
        <w:t xml:space="preserve">③ 除非拖延是取得同意而不收取误期赔偿费之外，卖方延误交货费。 </w:t>
      </w:r>
    </w:p>
    <w:p>
      <w:pPr>
        <w:adjustRightInd w:val="0"/>
        <w:snapToGrid w:val="0"/>
        <w:spacing w:line="324" w:lineRule="auto"/>
        <w:rPr>
          <w:rFonts w:ascii="宋体" w:hAnsi="宋体" w:cs="宋体"/>
          <w:szCs w:val="21"/>
        </w:rPr>
      </w:pPr>
      <w:r>
        <w:rPr>
          <w:rFonts w:hint="eastAsia" w:ascii="宋体" w:hAnsi="宋体" w:cs="宋体"/>
          <w:szCs w:val="21"/>
        </w:rPr>
        <w:t>2、误期赔偿费</w:t>
      </w:r>
    </w:p>
    <w:p>
      <w:pPr>
        <w:adjustRightInd w:val="0"/>
        <w:snapToGrid w:val="0"/>
        <w:spacing w:line="324" w:lineRule="auto"/>
        <w:rPr>
          <w:rFonts w:ascii="宋体" w:hAnsi="宋体" w:cs="宋体"/>
          <w:szCs w:val="21"/>
        </w:rPr>
      </w:pPr>
      <w:r>
        <w:rPr>
          <w:rFonts w:hint="eastAsia" w:ascii="宋体" w:hAnsi="宋体" w:cs="宋体"/>
          <w:szCs w:val="21"/>
        </w:rPr>
        <w:t>如果卖方没有按照合同规定的时间交货和提供服务，买方可从货款中扣除误期赔偿费。具体违约金数额见交货期承诺书。</w:t>
      </w:r>
    </w:p>
    <w:p>
      <w:pPr>
        <w:adjustRightInd w:val="0"/>
        <w:snapToGrid w:val="0"/>
        <w:spacing w:line="324" w:lineRule="auto"/>
        <w:rPr>
          <w:rFonts w:ascii="宋体" w:hAnsi="宋体" w:cs="宋体"/>
          <w:szCs w:val="21"/>
        </w:rPr>
      </w:pPr>
      <w:r>
        <w:rPr>
          <w:rFonts w:hint="eastAsia" w:ascii="宋体" w:hAnsi="宋体" w:cs="宋体"/>
          <w:szCs w:val="21"/>
        </w:rPr>
        <w:t>3、乙方无故不履行合同，拒绝供货，导致供应延误的，甲方有权取消乙方供货资格，同时扣除全部履约保证金，并要求乙方赔偿因此造成的一切损失。</w:t>
      </w:r>
    </w:p>
    <w:p>
      <w:pPr>
        <w:adjustRightInd w:val="0"/>
        <w:snapToGrid w:val="0"/>
        <w:spacing w:line="324" w:lineRule="auto"/>
        <w:rPr>
          <w:rFonts w:ascii="宋体" w:hAnsi="宋体" w:cs="宋体"/>
          <w:b/>
          <w:bCs/>
          <w:szCs w:val="21"/>
        </w:rPr>
      </w:pPr>
      <w:r>
        <w:rPr>
          <w:rFonts w:hint="eastAsia" w:ascii="宋体" w:hAnsi="宋体" w:cs="宋体"/>
          <w:b/>
          <w:bCs/>
          <w:szCs w:val="21"/>
        </w:rPr>
        <w:t>十三、其他约定</w:t>
      </w:r>
    </w:p>
    <w:p>
      <w:pPr>
        <w:adjustRightInd w:val="0"/>
        <w:snapToGrid w:val="0"/>
        <w:spacing w:line="324" w:lineRule="auto"/>
        <w:rPr>
          <w:rFonts w:ascii="宋体" w:hAnsi="宋体" w:cs="宋体"/>
          <w:szCs w:val="21"/>
        </w:rPr>
      </w:pPr>
      <w:r>
        <w:rPr>
          <w:rFonts w:hint="eastAsia" w:ascii="宋体" w:hAnsi="宋体" w:cs="宋体"/>
          <w:szCs w:val="21"/>
        </w:rPr>
        <w:t>1、招标文件、投标文件、“承诺书”、“投标函”等为本合同不可分割的组成部分，与本合同具有同等法律效力。其他末尽事宜或遇不可抗力因素，由甲、乙双方协商解决。</w:t>
      </w:r>
    </w:p>
    <w:p>
      <w:pPr>
        <w:adjustRightInd w:val="0"/>
        <w:snapToGrid w:val="0"/>
        <w:spacing w:line="324" w:lineRule="auto"/>
        <w:rPr>
          <w:rFonts w:ascii="宋体" w:hAnsi="宋体" w:cs="宋体"/>
          <w:b/>
          <w:bCs/>
          <w:szCs w:val="21"/>
        </w:rPr>
      </w:pPr>
      <w:r>
        <w:rPr>
          <w:rFonts w:hint="eastAsia" w:ascii="宋体" w:hAnsi="宋体" w:cs="宋体"/>
          <w:b/>
          <w:bCs/>
          <w:szCs w:val="21"/>
        </w:rPr>
        <w:t>十四、不可抗力</w:t>
      </w:r>
    </w:p>
    <w:p>
      <w:pPr>
        <w:adjustRightInd w:val="0"/>
        <w:snapToGrid w:val="0"/>
        <w:spacing w:line="324" w:lineRule="auto"/>
        <w:rPr>
          <w:rFonts w:ascii="宋体" w:hAnsi="宋体" w:cs="宋体"/>
          <w:szCs w:val="21"/>
        </w:rPr>
      </w:pPr>
      <w:r>
        <w:rPr>
          <w:rFonts w:hint="eastAsia" w:ascii="宋体" w:hAnsi="宋体" w:cs="宋体"/>
          <w:szCs w:val="21"/>
        </w:rPr>
        <w:t>1、如果任何一方由于自然灾害、战争、类似于战争的情况、禁令、骚乱、罢工、封锁和其他不可预见和不受控制的意外事故，而不能履行或迟延履行本合同的义务，则该方不应对另一方承担任何责任。</w:t>
      </w:r>
    </w:p>
    <w:p>
      <w:pPr>
        <w:adjustRightInd w:val="0"/>
        <w:snapToGrid w:val="0"/>
        <w:spacing w:line="324" w:lineRule="auto"/>
        <w:rPr>
          <w:rFonts w:ascii="宋体" w:hAnsi="宋体" w:cs="宋体"/>
          <w:szCs w:val="21"/>
        </w:rPr>
      </w:pPr>
      <w:r>
        <w:rPr>
          <w:rFonts w:hint="eastAsia" w:ascii="宋体" w:hAnsi="宋体" w:cs="宋体"/>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adjustRightInd w:val="0"/>
        <w:snapToGrid w:val="0"/>
        <w:spacing w:line="324" w:lineRule="auto"/>
        <w:rPr>
          <w:rFonts w:ascii="宋体" w:hAnsi="宋体" w:cs="宋体"/>
          <w:b/>
          <w:bCs/>
          <w:szCs w:val="21"/>
        </w:rPr>
      </w:pPr>
      <w:r>
        <w:rPr>
          <w:rFonts w:hint="eastAsia" w:ascii="宋体" w:hAnsi="宋体" w:cs="宋体"/>
          <w:b/>
          <w:bCs/>
          <w:szCs w:val="21"/>
        </w:rPr>
        <w:t>十五、税费</w:t>
      </w:r>
    </w:p>
    <w:p>
      <w:pPr>
        <w:adjustRightInd w:val="0"/>
        <w:snapToGrid w:val="0"/>
        <w:spacing w:line="324" w:lineRule="auto"/>
        <w:rPr>
          <w:rFonts w:ascii="宋体" w:hAnsi="宋体" w:cs="宋体"/>
          <w:szCs w:val="21"/>
        </w:rPr>
      </w:pPr>
      <w:r>
        <w:rPr>
          <w:rFonts w:hint="eastAsia" w:ascii="宋体" w:hAnsi="宋体" w:cs="宋体"/>
          <w:szCs w:val="21"/>
        </w:rPr>
        <w:t>甲方验收合格前发生的一切税费均由乙方负担。</w:t>
      </w:r>
    </w:p>
    <w:p>
      <w:pPr>
        <w:adjustRightInd w:val="0"/>
        <w:snapToGrid w:val="0"/>
        <w:spacing w:line="324" w:lineRule="auto"/>
        <w:rPr>
          <w:rFonts w:ascii="宋体" w:hAnsi="宋体" w:cs="宋体"/>
          <w:b/>
          <w:bCs/>
          <w:szCs w:val="21"/>
        </w:rPr>
      </w:pPr>
      <w:r>
        <w:rPr>
          <w:rFonts w:hint="eastAsia" w:ascii="宋体" w:hAnsi="宋体" w:cs="宋体"/>
          <w:b/>
          <w:bCs/>
          <w:szCs w:val="21"/>
        </w:rPr>
        <w:t>十六、合同纠纷处理</w:t>
      </w:r>
    </w:p>
    <w:p>
      <w:pPr>
        <w:adjustRightInd w:val="0"/>
        <w:snapToGrid w:val="0"/>
        <w:spacing w:line="324" w:lineRule="auto"/>
        <w:rPr>
          <w:rFonts w:ascii="宋体" w:hAnsi="宋体" w:cs="宋体"/>
          <w:szCs w:val="21"/>
        </w:rPr>
      </w:pPr>
      <w:r>
        <w:rPr>
          <w:rFonts w:hint="eastAsia" w:ascii="宋体" w:hAnsi="宋体" w:cs="宋体"/>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adjustRightInd w:val="0"/>
        <w:snapToGrid w:val="0"/>
        <w:spacing w:line="324" w:lineRule="auto"/>
        <w:rPr>
          <w:rFonts w:ascii="宋体" w:hAnsi="宋体" w:cs="宋体"/>
          <w:b/>
          <w:bCs/>
          <w:szCs w:val="21"/>
        </w:rPr>
      </w:pPr>
      <w:r>
        <w:rPr>
          <w:rFonts w:hint="eastAsia" w:ascii="宋体" w:hAnsi="宋体" w:cs="宋体"/>
          <w:b/>
          <w:bCs/>
          <w:szCs w:val="21"/>
        </w:rPr>
        <w:t>十七、转让</w:t>
      </w:r>
    </w:p>
    <w:p>
      <w:pPr>
        <w:adjustRightInd w:val="0"/>
        <w:snapToGrid w:val="0"/>
        <w:spacing w:line="324" w:lineRule="auto"/>
        <w:rPr>
          <w:rFonts w:ascii="宋体" w:hAnsi="宋体" w:cs="宋体"/>
          <w:szCs w:val="21"/>
        </w:rPr>
      </w:pPr>
      <w:r>
        <w:rPr>
          <w:rFonts w:hint="eastAsia" w:ascii="宋体" w:hAnsi="宋体" w:cs="宋体"/>
          <w:szCs w:val="21"/>
        </w:rPr>
        <w:t>除甲方事先书面同意外，乙方不得部分转让或全部转让其应履行的合同义务。</w:t>
      </w:r>
    </w:p>
    <w:p>
      <w:pPr>
        <w:adjustRightInd w:val="0"/>
        <w:snapToGrid w:val="0"/>
        <w:spacing w:line="324" w:lineRule="auto"/>
        <w:rPr>
          <w:rFonts w:ascii="宋体" w:hAnsi="宋体" w:cs="宋体"/>
          <w:b/>
          <w:bCs/>
          <w:szCs w:val="21"/>
        </w:rPr>
      </w:pPr>
      <w:r>
        <w:rPr>
          <w:rFonts w:hint="eastAsia" w:ascii="宋体" w:hAnsi="宋体" w:cs="宋体"/>
          <w:b/>
          <w:bCs/>
          <w:szCs w:val="21"/>
        </w:rPr>
        <w:t>十八、合同生效</w:t>
      </w:r>
    </w:p>
    <w:p>
      <w:pPr>
        <w:adjustRightInd w:val="0"/>
        <w:snapToGrid w:val="0"/>
        <w:spacing w:line="324" w:lineRule="auto"/>
        <w:ind w:firstLine="420" w:firstLineChars="200"/>
        <w:rPr>
          <w:rFonts w:ascii="宋体" w:hAnsi="宋体" w:cs="宋体"/>
          <w:szCs w:val="21"/>
        </w:rPr>
      </w:pPr>
      <w:r>
        <w:rPr>
          <w:rFonts w:hint="eastAsia" w:ascii="宋体" w:hAnsi="宋体" w:cs="宋体"/>
          <w:szCs w:val="21"/>
        </w:rPr>
        <w:t>本合同自甲乙方盖章签字及见证方盖章签字之日起生效，如有变动，必须经三方协商一致后，方可更改。本合同一式三份，甲方执一份，乙方执一份，见证方执一份。</w:t>
      </w:r>
    </w:p>
    <w:p>
      <w:pPr>
        <w:adjustRightInd w:val="0"/>
        <w:snapToGrid w:val="0"/>
        <w:spacing w:line="324" w:lineRule="auto"/>
        <w:ind w:firstLine="420" w:firstLineChars="200"/>
        <w:rPr>
          <w:rFonts w:ascii="宋体" w:hAnsi="宋体" w:cs="宋体"/>
          <w:szCs w:val="21"/>
        </w:rPr>
      </w:pPr>
      <w:r>
        <w:rPr>
          <w:rFonts w:hint="eastAsia" w:ascii="宋体" w:hAnsi="宋体" w:cs="宋体"/>
          <w:szCs w:val="21"/>
        </w:rPr>
        <w:t>见证方仅对甲乙双方签订采购合同的事实进行见证，不代表任何承诺或保证，该合同的履行等相关情况均与见证方无任何关系。其他未尽事宜，参照相关法律，双方协商解决。</w:t>
      </w:r>
    </w:p>
    <w:p>
      <w:pPr>
        <w:adjustRightInd w:val="0"/>
        <w:snapToGrid w:val="0"/>
        <w:spacing w:line="324" w:lineRule="auto"/>
        <w:rPr>
          <w:rFonts w:ascii="宋体" w:hAnsi="宋体" w:cs="宋体"/>
          <w:szCs w:val="21"/>
        </w:rPr>
      </w:pPr>
    </w:p>
    <w:p>
      <w:pPr>
        <w:adjustRightInd w:val="0"/>
        <w:snapToGrid w:val="0"/>
        <w:spacing w:line="324" w:lineRule="auto"/>
        <w:rPr>
          <w:rFonts w:ascii="宋体" w:hAnsi="宋体" w:cs="宋体"/>
          <w:szCs w:val="21"/>
        </w:rPr>
      </w:pPr>
      <w:r>
        <w:rPr>
          <w:rFonts w:hint="eastAsia" w:ascii="宋体" w:hAnsi="宋体" w:cs="宋体"/>
          <w:szCs w:val="21"/>
        </w:rPr>
        <w:t>甲方：常州市武进区嘉泽镇成章卫生院</w:t>
      </w:r>
    </w:p>
    <w:p>
      <w:pPr>
        <w:adjustRightInd w:val="0"/>
        <w:snapToGrid w:val="0"/>
        <w:spacing w:line="324" w:lineRule="auto"/>
        <w:rPr>
          <w:rFonts w:ascii="宋体" w:hAnsi="宋体" w:cs="宋体"/>
          <w:szCs w:val="21"/>
        </w:rPr>
      </w:pPr>
      <w:r>
        <w:rPr>
          <w:rFonts w:hint="eastAsia" w:ascii="宋体" w:hAnsi="宋体" w:cs="宋体"/>
          <w:szCs w:val="21"/>
        </w:rPr>
        <w:t>单位名称（章）：</w:t>
      </w:r>
    </w:p>
    <w:p>
      <w:pPr>
        <w:adjustRightInd w:val="0"/>
        <w:snapToGrid w:val="0"/>
        <w:spacing w:line="324" w:lineRule="auto"/>
        <w:rPr>
          <w:rFonts w:ascii="宋体" w:hAnsi="宋体" w:cs="宋体"/>
          <w:szCs w:val="21"/>
        </w:rPr>
      </w:pPr>
      <w:r>
        <w:rPr>
          <w:rFonts w:hint="eastAsia" w:ascii="宋体" w:hAnsi="宋体" w:cs="宋体"/>
          <w:szCs w:val="21"/>
        </w:rPr>
        <w:t>单位地址：</w:t>
      </w:r>
    </w:p>
    <w:p>
      <w:pPr>
        <w:adjustRightInd w:val="0"/>
        <w:snapToGrid w:val="0"/>
        <w:spacing w:line="324" w:lineRule="auto"/>
        <w:rPr>
          <w:rFonts w:ascii="宋体" w:hAnsi="宋体" w:cs="宋体"/>
          <w:szCs w:val="21"/>
        </w:rPr>
      </w:pPr>
      <w:r>
        <w:rPr>
          <w:rFonts w:hint="eastAsia" w:ascii="宋体" w:hAnsi="宋体" w:cs="宋体"/>
          <w:szCs w:val="21"/>
        </w:rPr>
        <w:t>法定代表人：</w:t>
      </w:r>
    </w:p>
    <w:p>
      <w:pPr>
        <w:adjustRightInd w:val="0"/>
        <w:snapToGrid w:val="0"/>
        <w:spacing w:line="324" w:lineRule="auto"/>
        <w:rPr>
          <w:rFonts w:ascii="宋体" w:hAnsi="宋体" w:cs="宋体"/>
          <w:szCs w:val="21"/>
        </w:rPr>
      </w:pPr>
      <w:r>
        <w:rPr>
          <w:rFonts w:hint="eastAsia" w:ascii="宋体" w:hAnsi="宋体" w:cs="宋体"/>
          <w:szCs w:val="21"/>
        </w:rPr>
        <w:t>委托代理人：</w:t>
      </w:r>
    </w:p>
    <w:p>
      <w:pPr>
        <w:adjustRightInd w:val="0"/>
        <w:snapToGrid w:val="0"/>
        <w:spacing w:line="324" w:lineRule="auto"/>
        <w:rPr>
          <w:rFonts w:ascii="宋体" w:hAnsi="宋体" w:cs="宋体"/>
          <w:szCs w:val="21"/>
        </w:rPr>
      </w:pPr>
      <w:r>
        <w:rPr>
          <w:rFonts w:hint="eastAsia" w:ascii="宋体" w:hAnsi="宋体" w:cs="宋体"/>
          <w:szCs w:val="21"/>
        </w:rPr>
        <w:t>经办人：</w:t>
      </w:r>
    </w:p>
    <w:p>
      <w:pPr>
        <w:adjustRightInd w:val="0"/>
        <w:snapToGrid w:val="0"/>
        <w:spacing w:line="324" w:lineRule="auto"/>
        <w:rPr>
          <w:rFonts w:ascii="宋体" w:hAnsi="宋体" w:cs="宋体"/>
          <w:szCs w:val="21"/>
        </w:rPr>
      </w:pPr>
      <w:r>
        <w:rPr>
          <w:rFonts w:hint="eastAsia" w:ascii="宋体" w:hAnsi="宋体" w:cs="宋体"/>
          <w:szCs w:val="21"/>
        </w:rPr>
        <w:t>电话：</w:t>
      </w:r>
    </w:p>
    <w:p>
      <w:pPr>
        <w:adjustRightInd w:val="0"/>
        <w:snapToGrid w:val="0"/>
        <w:spacing w:line="324" w:lineRule="auto"/>
        <w:rPr>
          <w:rFonts w:ascii="宋体" w:hAnsi="宋体" w:cs="宋体"/>
          <w:szCs w:val="21"/>
        </w:rPr>
      </w:pPr>
    </w:p>
    <w:p>
      <w:pPr>
        <w:adjustRightInd w:val="0"/>
        <w:snapToGrid w:val="0"/>
        <w:spacing w:line="324" w:lineRule="auto"/>
        <w:rPr>
          <w:rFonts w:ascii="宋体" w:hAnsi="宋体" w:cs="宋体"/>
          <w:szCs w:val="21"/>
        </w:rPr>
      </w:pPr>
      <w:r>
        <w:rPr>
          <w:rFonts w:hint="eastAsia" w:ascii="宋体" w:hAnsi="宋体" w:cs="宋体"/>
          <w:szCs w:val="21"/>
        </w:rPr>
        <w:t>乙方：</w:t>
      </w:r>
      <w:r>
        <w:rPr>
          <w:rFonts w:hint="eastAsia" w:ascii="宋体" w:hAnsi="宋体" w:cs="宋体"/>
          <w:szCs w:val="21"/>
          <w:lang w:val="en-US" w:eastAsia="zh-CN"/>
        </w:rPr>
        <w:t>常州轶凡医疗器材有限公司</w:t>
      </w:r>
      <w:r>
        <w:rPr>
          <w:rFonts w:hint="eastAsia" w:ascii="宋体" w:hAnsi="宋体" w:cs="宋体"/>
          <w:szCs w:val="21"/>
        </w:rPr>
        <w:t xml:space="preserve">            代理采购机构：</w:t>
      </w:r>
    </w:p>
    <w:p>
      <w:pPr>
        <w:adjustRightInd w:val="0"/>
        <w:snapToGrid w:val="0"/>
        <w:spacing w:line="324" w:lineRule="auto"/>
        <w:rPr>
          <w:rFonts w:ascii="宋体" w:hAnsi="宋体" w:cs="宋体"/>
          <w:szCs w:val="21"/>
        </w:rPr>
      </w:pPr>
      <w:r>
        <w:rPr>
          <w:rFonts w:hint="eastAsia" w:ascii="宋体" w:hAnsi="宋体" w:cs="宋体"/>
          <w:szCs w:val="21"/>
        </w:rPr>
        <w:t xml:space="preserve">单位名称（章）：                          </w:t>
      </w:r>
      <w:r>
        <w:rPr>
          <w:rFonts w:hint="eastAsia" w:ascii="宋体" w:hAnsi="宋体" w:cs="宋体"/>
          <w:szCs w:val="21"/>
          <w:lang w:val="en-US" w:eastAsia="zh-CN"/>
        </w:rPr>
        <w:t xml:space="preserve"> </w:t>
      </w:r>
      <w:r>
        <w:rPr>
          <w:rFonts w:hint="eastAsia" w:ascii="宋体" w:hAnsi="宋体" w:cs="宋体"/>
          <w:szCs w:val="21"/>
        </w:rPr>
        <w:t>单位名称（章）：新禾招投标有限公司</w:t>
      </w:r>
    </w:p>
    <w:p>
      <w:pPr>
        <w:adjustRightInd w:val="0"/>
        <w:snapToGrid w:val="0"/>
        <w:spacing w:line="324" w:lineRule="auto"/>
        <w:rPr>
          <w:rFonts w:ascii="宋体" w:hAnsi="宋体" w:cs="宋体"/>
          <w:szCs w:val="21"/>
        </w:rPr>
      </w:pPr>
      <w:r>
        <w:rPr>
          <w:rFonts w:hint="eastAsia" w:ascii="宋体" w:hAnsi="宋体" w:cs="宋体"/>
          <w:szCs w:val="21"/>
        </w:rPr>
        <w:t>单位地址：                                法定代表人：</w:t>
      </w:r>
    </w:p>
    <w:p>
      <w:pPr>
        <w:adjustRightInd w:val="0"/>
        <w:snapToGrid w:val="0"/>
        <w:spacing w:line="324" w:lineRule="auto"/>
        <w:rPr>
          <w:rFonts w:ascii="宋体" w:hAnsi="宋体" w:cs="宋体"/>
          <w:szCs w:val="21"/>
        </w:rPr>
      </w:pPr>
      <w:r>
        <w:rPr>
          <w:rFonts w:hint="eastAsia" w:ascii="宋体" w:hAnsi="宋体" w:cs="宋体"/>
          <w:szCs w:val="21"/>
        </w:rPr>
        <w:t>法定代表人：                              委托代理人：</w:t>
      </w:r>
    </w:p>
    <w:p>
      <w:pPr>
        <w:adjustRightInd w:val="0"/>
        <w:snapToGrid w:val="0"/>
        <w:spacing w:line="324" w:lineRule="auto"/>
        <w:rPr>
          <w:rFonts w:ascii="宋体" w:hAnsi="宋体" w:cs="宋体"/>
          <w:szCs w:val="21"/>
        </w:rPr>
      </w:pPr>
      <w:r>
        <w:rPr>
          <w:rFonts w:hint="eastAsia" w:ascii="宋体" w:hAnsi="宋体" w:cs="宋体"/>
          <w:szCs w:val="21"/>
        </w:rPr>
        <w:t>委托代理人：                              经办人：</w:t>
      </w:r>
    </w:p>
    <w:p>
      <w:pPr>
        <w:adjustRightInd w:val="0"/>
        <w:snapToGrid w:val="0"/>
        <w:spacing w:line="324" w:lineRule="auto"/>
        <w:rPr>
          <w:rFonts w:ascii="宋体" w:hAnsi="宋体" w:cs="宋体"/>
          <w:szCs w:val="21"/>
        </w:rPr>
      </w:pPr>
      <w:r>
        <w:rPr>
          <w:rFonts w:hint="eastAsia" w:ascii="宋体" w:hAnsi="宋体" w:cs="宋体"/>
          <w:szCs w:val="21"/>
        </w:rPr>
        <w:t>电话：                                    电话：0519-80588588</w:t>
      </w:r>
    </w:p>
    <w:p>
      <w:pPr>
        <w:adjustRightInd w:val="0"/>
        <w:snapToGrid w:val="0"/>
        <w:spacing w:line="324" w:lineRule="auto"/>
        <w:rPr>
          <w:rFonts w:ascii="宋体" w:hAnsi="宋体" w:cs="宋体"/>
          <w:szCs w:val="21"/>
        </w:rPr>
      </w:pPr>
      <w:r>
        <w:rPr>
          <w:rFonts w:hint="eastAsia" w:ascii="宋体" w:hAnsi="宋体" w:cs="宋体"/>
          <w:szCs w:val="21"/>
        </w:rPr>
        <w:t xml:space="preserve">开户银行： </w:t>
      </w:r>
    </w:p>
    <w:p>
      <w:pPr>
        <w:adjustRightInd w:val="0"/>
        <w:snapToGrid w:val="0"/>
        <w:spacing w:line="324" w:lineRule="auto"/>
        <w:rPr>
          <w:rFonts w:ascii="宋体" w:hAnsi="宋体" w:cs="宋体"/>
          <w:szCs w:val="21"/>
        </w:rPr>
      </w:pPr>
      <w:r>
        <w:rPr>
          <w:rFonts w:hint="eastAsia" w:ascii="宋体" w:hAnsi="宋体" w:cs="宋体"/>
          <w:szCs w:val="21"/>
        </w:rPr>
        <w:t xml:space="preserve">银行账号： </w:t>
      </w:r>
    </w:p>
    <w:p>
      <w:pPr>
        <w:adjustRightInd w:val="0"/>
        <w:snapToGrid w:val="0"/>
        <w:spacing w:line="324" w:lineRule="auto"/>
        <w:rPr>
          <w:rFonts w:ascii="宋体" w:hAnsi="宋体" w:cs="宋体"/>
          <w:szCs w:val="21"/>
        </w:rPr>
      </w:pPr>
      <w:r>
        <w:rPr>
          <w:rFonts w:hint="eastAsia" w:ascii="宋体" w:hAnsi="宋体" w:cs="宋体"/>
          <w:szCs w:val="21"/>
        </w:rPr>
        <w:t>行号：</w:t>
      </w:r>
    </w:p>
    <w:bookmarkEnd w:id="82"/>
    <w:p>
      <w:pPr>
        <w:adjustRightInd w:val="0"/>
        <w:snapToGrid w:val="0"/>
        <w:spacing w:line="324" w:lineRule="auto"/>
        <w:rPr>
          <w:rFonts w:ascii="宋体" w:hAnsi="宋体" w:cs="宋体"/>
          <w:b/>
          <w:sz w:val="44"/>
          <w:szCs w:val="44"/>
        </w:rPr>
      </w:pPr>
    </w:p>
    <w:p>
      <w:pPr>
        <w:adjustRightInd w:val="0"/>
        <w:snapToGrid w:val="0"/>
        <w:spacing w:line="324" w:lineRule="auto"/>
        <w:rPr>
          <w:rFonts w:ascii="宋体" w:hAnsi="宋体" w:cs="宋体"/>
          <w:b/>
          <w:szCs w:val="21"/>
        </w:rPr>
      </w:pPr>
    </w:p>
    <w:p>
      <w:pPr>
        <w:adjustRightInd w:val="0"/>
        <w:snapToGrid w:val="0"/>
        <w:spacing w:line="324" w:lineRule="auto"/>
        <w:jc w:val="left"/>
        <w:rPr>
          <w:rFonts w:ascii="宋体" w:hAnsi="宋体" w:cs="宋体"/>
          <w:b/>
          <w:szCs w:val="21"/>
        </w:rPr>
      </w:pPr>
      <w:r>
        <w:rPr>
          <w:rFonts w:hint="eastAsia" w:ascii="宋体" w:hAnsi="宋体" w:cs="宋体"/>
          <w:b/>
          <w:szCs w:val="21"/>
        </w:rPr>
        <w:t>*以上合同模板仅供参考</w:t>
      </w:r>
    </w:p>
    <w:p>
      <w:pPr>
        <w:widowControl/>
        <w:jc w:val="left"/>
        <w:rPr>
          <w:rFonts w:ascii="宋体" w:hAnsi="宋体"/>
          <w:b/>
          <w:sz w:val="36"/>
          <w:szCs w:val="36"/>
        </w:rPr>
      </w:pPr>
      <w:r>
        <w:rPr>
          <w:rFonts w:ascii="宋体" w:hAnsi="宋体"/>
          <w:b/>
          <w:sz w:val="36"/>
          <w:szCs w:val="36"/>
        </w:rPr>
        <w:br w:type="page"/>
      </w:r>
    </w:p>
    <w:p>
      <w:pPr>
        <w:pStyle w:val="20"/>
        <w:spacing w:line="360" w:lineRule="auto"/>
        <w:rPr>
          <w:rFonts w:ascii="宋体" w:hAnsi="宋体"/>
          <w:sz w:val="28"/>
          <w:szCs w:val="28"/>
        </w:rPr>
      </w:pPr>
      <w:bookmarkStart w:id="46" w:name="_Toc165282397"/>
      <w:r>
        <w:rPr>
          <w:rFonts w:hint="eastAsia" w:ascii="宋体" w:hAnsi="宋体"/>
          <w:sz w:val="28"/>
          <w:szCs w:val="28"/>
        </w:rPr>
        <w:t>第七章 响应文件的组成</w:t>
      </w:r>
      <w:bookmarkEnd w:id="45"/>
      <w:bookmarkEnd w:id="46"/>
    </w:p>
    <w:p>
      <w:pPr>
        <w:adjustRightInd w:val="0"/>
        <w:snapToGrid w:val="0"/>
        <w:spacing w:line="360" w:lineRule="auto"/>
        <w:ind w:firstLine="420" w:firstLineChars="200"/>
        <w:rPr>
          <w:rFonts w:ascii="宋体" w:hAnsi="宋体"/>
          <w:szCs w:val="21"/>
        </w:rPr>
      </w:pPr>
    </w:p>
    <w:p>
      <w:pPr>
        <w:numPr>
          <w:ilvl w:val="0"/>
          <w:numId w:val="3"/>
        </w:numPr>
        <w:spacing w:line="360" w:lineRule="auto"/>
        <w:rPr>
          <w:rFonts w:ascii="宋体" w:hAnsi="宋体" w:cs="黑体"/>
          <w:bCs/>
          <w:sz w:val="24"/>
        </w:rPr>
      </w:pPr>
      <w:r>
        <w:rPr>
          <w:rFonts w:hint="eastAsia" w:ascii="宋体" w:hAnsi="宋体" w:cs="黑体"/>
          <w:bCs/>
          <w:sz w:val="24"/>
        </w:rPr>
        <w:t>响应文件封面</w:t>
      </w:r>
    </w:p>
    <w:p>
      <w:pPr>
        <w:numPr>
          <w:ilvl w:val="0"/>
          <w:numId w:val="3"/>
        </w:numPr>
        <w:spacing w:line="360" w:lineRule="auto"/>
        <w:rPr>
          <w:rFonts w:ascii="宋体" w:hAnsi="宋体" w:cs="黑体"/>
          <w:bCs/>
          <w:sz w:val="24"/>
        </w:rPr>
      </w:pPr>
      <w:r>
        <w:rPr>
          <w:rFonts w:hint="eastAsia" w:ascii="宋体" w:hAnsi="宋体" w:cs="黑体"/>
          <w:bCs/>
          <w:sz w:val="24"/>
        </w:rPr>
        <w:t>响应函</w:t>
      </w:r>
    </w:p>
    <w:p>
      <w:pPr>
        <w:numPr>
          <w:ilvl w:val="0"/>
          <w:numId w:val="3"/>
        </w:numPr>
        <w:spacing w:line="360" w:lineRule="auto"/>
        <w:rPr>
          <w:rFonts w:ascii="宋体" w:hAnsi="宋体" w:cs="黑体"/>
          <w:bCs/>
          <w:sz w:val="24"/>
        </w:rPr>
      </w:pPr>
      <w:r>
        <w:rPr>
          <w:rFonts w:hint="eastAsia" w:ascii="宋体" w:hAnsi="宋体" w:cs="黑体"/>
          <w:bCs/>
          <w:sz w:val="24"/>
        </w:rPr>
        <w:t>开标一览表</w:t>
      </w:r>
    </w:p>
    <w:p>
      <w:pPr>
        <w:numPr>
          <w:ilvl w:val="0"/>
          <w:numId w:val="3"/>
        </w:numPr>
        <w:spacing w:line="360" w:lineRule="auto"/>
        <w:rPr>
          <w:rFonts w:ascii="宋体" w:hAnsi="宋体" w:cs="黑体"/>
          <w:bCs/>
          <w:sz w:val="24"/>
        </w:rPr>
      </w:pPr>
      <w:r>
        <w:rPr>
          <w:rFonts w:hint="eastAsia" w:ascii="宋体" w:hAnsi="宋体" w:cs="黑体"/>
          <w:bCs/>
          <w:sz w:val="24"/>
        </w:rPr>
        <w:t>报价明细表</w:t>
      </w:r>
    </w:p>
    <w:p>
      <w:pPr>
        <w:numPr>
          <w:ilvl w:val="0"/>
          <w:numId w:val="3"/>
        </w:numPr>
        <w:spacing w:line="360" w:lineRule="auto"/>
        <w:rPr>
          <w:rFonts w:ascii="宋体" w:hAnsi="宋体" w:cs="黑体"/>
          <w:bCs/>
          <w:sz w:val="24"/>
        </w:rPr>
      </w:pPr>
      <w:r>
        <w:rPr>
          <w:rFonts w:hint="eastAsia" w:ascii="宋体" w:hAnsi="宋体" w:cs="黑体"/>
          <w:bCs/>
          <w:sz w:val="24"/>
        </w:rPr>
        <w:t>项目组成员配备情况表</w:t>
      </w:r>
    </w:p>
    <w:p>
      <w:pPr>
        <w:numPr>
          <w:ilvl w:val="0"/>
          <w:numId w:val="3"/>
        </w:numPr>
        <w:spacing w:line="360" w:lineRule="auto"/>
        <w:rPr>
          <w:rFonts w:ascii="宋体" w:hAnsi="宋体" w:cs="黑体"/>
          <w:bCs/>
          <w:sz w:val="24"/>
        </w:rPr>
      </w:pPr>
      <w:r>
        <w:rPr>
          <w:rFonts w:hint="eastAsia" w:ascii="宋体" w:hAnsi="宋体" w:cs="黑体"/>
          <w:bCs/>
          <w:sz w:val="24"/>
        </w:rPr>
        <w:t>具备履行合同所必需的设备和专业技术能力的书面声明</w:t>
      </w:r>
    </w:p>
    <w:p>
      <w:pPr>
        <w:numPr>
          <w:ilvl w:val="0"/>
          <w:numId w:val="3"/>
        </w:numPr>
        <w:spacing w:line="360" w:lineRule="auto"/>
        <w:rPr>
          <w:rFonts w:ascii="宋体" w:hAnsi="宋体" w:cs="黑体"/>
          <w:bCs/>
          <w:sz w:val="24"/>
        </w:rPr>
      </w:pPr>
      <w:r>
        <w:rPr>
          <w:rFonts w:hint="eastAsia" w:ascii="宋体" w:hAnsi="宋体" w:cs="黑体"/>
          <w:bCs/>
          <w:sz w:val="24"/>
        </w:rPr>
        <w:t>没有提供虚假材料的声明函</w:t>
      </w:r>
    </w:p>
    <w:p>
      <w:pPr>
        <w:numPr>
          <w:ilvl w:val="0"/>
          <w:numId w:val="3"/>
        </w:numPr>
        <w:spacing w:line="360" w:lineRule="auto"/>
        <w:rPr>
          <w:rFonts w:ascii="宋体" w:hAnsi="宋体" w:cs="黑体"/>
          <w:bCs/>
          <w:sz w:val="24"/>
        </w:rPr>
      </w:pPr>
      <w:r>
        <w:rPr>
          <w:rFonts w:hint="eastAsia" w:ascii="宋体" w:hAnsi="宋体" w:cs="黑体"/>
          <w:bCs/>
          <w:sz w:val="24"/>
        </w:rPr>
        <w:t>偏离表（商务部分及技术部分）</w:t>
      </w:r>
    </w:p>
    <w:p>
      <w:pPr>
        <w:numPr>
          <w:ilvl w:val="0"/>
          <w:numId w:val="3"/>
        </w:numPr>
        <w:spacing w:line="360" w:lineRule="auto"/>
        <w:rPr>
          <w:rFonts w:ascii="宋体" w:hAnsi="宋体" w:cs="黑体"/>
          <w:bCs/>
          <w:sz w:val="24"/>
        </w:rPr>
      </w:pPr>
      <w:r>
        <w:rPr>
          <w:rFonts w:hint="eastAsia" w:ascii="宋体" w:hAnsi="宋体" w:cs="黑体"/>
          <w:bCs/>
          <w:sz w:val="24"/>
        </w:rPr>
        <w:t>项目实施方案</w:t>
      </w:r>
    </w:p>
    <w:p>
      <w:pPr>
        <w:numPr>
          <w:ilvl w:val="0"/>
          <w:numId w:val="3"/>
        </w:numPr>
        <w:spacing w:line="360" w:lineRule="auto"/>
        <w:rPr>
          <w:rFonts w:ascii="宋体" w:hAnsi="宋体" w:cs="黑体"/>
          <w:bCs/>
          <w:sz w:val="24"/>
        </w:rPr>
      </w:pPr>
      <w:r>
        <w:rPr>
          <w:rFonts w:hint="eastAsia" w:ascii="宋体" w:hAnsi="宋体" w:cs="黑体"/>
          <w:bCs/>
          <w:sz w:val="24"/>
        </w:rPr>
        <w:t>基本服务承诺书</w:t>
      </w:r>
    </w:p>
    <w:p>
      <w:pPr>
        <w:numPr>
          <w:ilvl w:val="0"/>
          <w:numId w:val="3"/>
        </w:numPr>
        <w:spacing w:line="360" w:lineRule="auto"/>
        <w:rPr>
          <w:rFonts w:ascii="宋体" w:hAnsi="宋体" w:cs="黑体"/>
          <w:bCs/>
          <w:sz w:val="24"/>
        </w:rPr>
      </w:pPr>
      <w:r>
        <w:rPr>
          <w:rFonts w:hint="eastAsia" w:ascii="宋体" w:hAnsi="宋体" w:cs="黑体"/>
          <w:bCs/>
          <w:kern w:val="44"/>
          <w:sz w:val="24"/>
        </w:rPr>
        <w:t>资格审查材料</w:t>
      </w:r>
    </w:p>
    <w:p>
      <w:pPr>
        <w:spacing w:line="360" w:lineRule="auto"/>
        <w:rPr>
          <w:rFonts w:ascii="宋体" w:hAnsi="宋体" w:cs="黑体"/>
          <w:bCs/>
          <w:kern w:val="44"/>
          <w:sz w:val="24"/>
        </w:rPr>
      </w:pPr>
      <w:r>
        <w:rPr>
          <w:rFonts w:hint="eastAsia" w:ascii="宋体" w:hAnsi="宋体" w:cs="黑体"/>
          <w:bCs/>
          <w:sz w:val="24"/>
        </w:rPr>
        <w:t>（十一）</w:t>
      </w:r>
      <w:r>
        <w:rPr>
          <w:rFonts w:hint="eastAsia" w:ascii="宋体" w:hAnsi="宋体" w:cs="黑体"/>
          <w:bCs/>
          <w:kern w:val="44"/>
          <w:sz w:val="24"/>
        </w:rPr>
        <w:t>供应商认为有必要提供的和评分所涉及的其他材料</w:t>
      </w:r>
    </w:p>
    <w:bookmarkEnd w:id="40"/>
    <w:bookmarkEnd w:id="41"/>
    <w:bookmarkEnd w:id="42"/>
    <w:p>
      <w:pPr>
        <w:widowControl/>
        <w:spacing w:line="360" w:lineRule="auto"/>
        <w:jc w:val="left"/>
        <w:rPr>
          <w:rFonts w:ascii="宋体" w:hAnsi="宋体"/>
          <w:b/>
          <w:szCs w:val="21"/>
        </w:rPr>
      </w:pPr>
      <w:bookmarkStart w:id="47" w:name="_Toc288738405"/>
      <w:bookmarkStart w:id="48" w:name="_Toc288738799"/>
      <w:bookmarkStart w:id="49" w:name="_Toc288738331"/>
      <w:r>
        <w:rPr>
          <w:rFonts w:ascii="宋体" w:hAnsi="宋体"/>
          <w:b/>
          <w:szCs w:val="21"/>
        </w:rPr>
        <w:br w:type="page"/>
      </w:r>
    </w:p>
    <w:p>
      <w:pPr>
        <w:pStyle w:val="20"/>
        <w:spacing w:line="360" w:lineRule="auto"/>
        <w:rPr>
          <w:rFonts w:ascii="宋体" w:hAnsi="宋体"/>
          <w:sz w:val="28"/>
          <w:szCs w:val="28"/>
        </w:rPr>
      </w:pPr>
      <w:bookmarkStart w:id="50" w:name="_Toc165282398"/>
      <w:r>
        <w:rPr>
          <w:rFonts w:hint="eastAsia" w:ascii="宋体" w:hAnsi="宋体"/>
          <w:sz w:val="28"/>
          <w:szCs w:val="28"/>
        </w:rPr>
        <w:t>第八章　响应文件的格式</w:t>
      </w:r>
      <w:bookmarkEnd w:id="50"/>
    </w:p>
    <w:p>
      <w:pPr>
        <w:spacing w:line="360" w:lineRule="auto"/>
        <w:jc w:val="center"/>
        <w:rPr>
          <w:rFonts w:ascii="宋体" w:hAnsi="宋体"/>
          <w:sz w:val="36"/>
          <w:szCs w:val="36"/>
          <w:u w:val="single"/>
        </w:rPr>
      </w:pPr>
    </w:p>
    <w:p>
      <w:pPr>
        <w:spacing w:line="360" w:lineRule="auto"/>
        <w:jc w:val="center"/>
        <w:rPr>
          <w:rFonts w:ascii="宋体" w:hAnsi="宋体"/>
          <w:sz w:val="36"/>
          <w:szCs w:val="36"/>
        </w:rPr>
      </w:pPr>
      <w:r>
        <w:rPr>
          <w:rFonts w:hint="eastAsia" w:ascii="宋体" w:hAnsi="宋体"/>
          <w:sz w:val="36"/>
          <w:szCs w:val="36"/>
          <w:u w:val="single"/>
        </w:rPr>
        <w:t xml:space="preserve"> </w:t>
      </w:r>
      <w:r>
        <w:rPr>
          <w:rFonts w:ascii="宋体" w:hAnsi="宋体"/>
          <w:sz w:val="36"/>
          <w:szCs w:val="36"/>
          <w:u w:val="single"/>
        </w:rPr>
        <w:t xml:space="preserve">                               </w:t>
      </w:r>
      <w:r>
        <w:rPr>
          <w:rFonts w:hint="eastAsia" w:ascii="宋体" w:hAnsi="宋体"/>
          <w:sz w:val="36"/>
          <w:szCs w:val="36"/>
        </w:rPr>
        <w:t>项目</w:t>
      </w:r>
    </w:p>
    <w:p>
      <w:pPr>
        <w:spacing w:line="360" w:lineRule="auto"/>
        <w:rPr>
          <w:rFonts w:ascii="宋体" w:hAnsi="宋体"/>
          <w:sz w:val="36"/>
          <w:szCs w:val="36"/>
          <w:u w:val="single"/>
        </w:rPr>
      </w:pPr>
    </w:p>
    <w:p>
      <w:pPr>
        <w:spacing w:line="360" w:lineRule="auto"/>
        <w:jc w:val="center"/>
        <w:rPr>
          <w:rFonts w:ascii="宋体" w:hAnsi="宋体"/>
          <w:sz w:val="72"/>
          <w:szCs w:val="72"/>
        </w:rPr>
      </w:pPr>
      <w:r>
        <w:rPr>
          <w:rFonts w:hint="eastAsia" w:ascii="宋体" w:hAnsi="宋体"/>
          <w:sz w:val="72"/>
          <w:szCs w:val="72"/>
        </w:rPr>
        <w:t>响</w:t>
      </w:r>
    </w:p>
    <w:p>
      <w:pPr>
        <w:spacing w:line="360" w:lineRule="auto"/>
        <w:jc w:val="center"/>
        <w:rPr>
          <w:rFonts w:ascii="宋体" w:hAnsi="宋体"/>
          <w:sz w:val="48"/>
          <w:szCs w:val="48"/>
        </w:rPr>
      </w:pPr>
    </w:p>
    <w:p>
      <w:pPr>
        <w:spacing w:line="360" w:lineRule="auto"/>
        <w:jc w:val="center"/>
        <w:rPr>
          <w:rFonts w:ascii="宋体" w:hAnsi="宋体"/>
          <w:sz w:val="72"/>
          <w:szCs w:val="72"/>
        </w:rPr>
      </w:pPr>
      <w:r>
        <w:rPr>
          <w:rFonts w:hint="eastAsia" w:ascii="宋体" w:hAnsi="宋体"/>
          <w:sz w:val="72"/>
          <w:szCs w:val="72"/>
        </w:rPr>
        <w:t>应</w:t>
      </w:r>
    </w:p>
    <w:p>
      <w:pPr>
        <w:spacing w:line="360" w:lineRule="auto"/>
        <w:jc w:val="center"/>
        <w:rPr>
          <w:rFonts w:ascii="宋体" w:hAnsi="宋体"/>
          <w:sz w:val="48"/>
          <w:szCs w:val="48"/>
        </w:rPr>
      </w:pPr>
    </w:p>
    <w:p>
      <w:pPr>
        <w:spacing w:line="360" w:lineRule="auto"/>
        <w:jc w:val="center"/>
        <w:rPr>
          <w:rFonts w:ascii="宋体" w:hAnsi="宋体"/>
          <w:sz w:val="72"/>
          <w:szCs w:val="72"/>
        </w:rPr>
      </w:pPr>
      <w:r>
        <w:rPr>
          <w:rFonts w:hint="eastAsia" w:ascii="宋体" w:hAnsi="宋体"/>
          <w:sz w:val="72"/>
          <w:szCs w:val="72"/>
        </w:rPr>
        <w:t>文</w:t>
      </w:r>
    </w:p>
    <w:p>
      <w:pPr>
        <w:spacing w:line="360" w:lineRule="auto"/>
        <w:jc w:val="center"/>
        <w:rPr>
          <w:rFonts w:ascii="宋体" w:hAnsi="宋体"/>
          <w:sz w:val="48"/>
          <w:szCs w:val="48"/>
        </w:rPr>
      </w:pPr>
    </w:p>
    <w:p>
      <w:pPr>
        <w:spacing w:line="360" w:lineRule="auto"/>
        <w:jc w:val="center"/>
        <w:rPr>
          <w:rFonts w:ascii="宋体" w:hAnsi="宋体"/>
          <w:sz w:val="72"/>
          <w:szCs w:val="72"/>
        </w:rPr>
      </w:pPr>
      <w:r>
        <w:rPr>
          <w:rFonts w:hint="eastAsia" w:ascii="宋体" w:hAnsi="宋体"/>
          <w:sz w:val="72"/>
          <w:szCs w:val="72"/>
        </w:rPr>
        <w:t>件</w:t>
      </w:r>
    </w:p>
    <w:p>
      <w:pPr>
        <w:spacing w:line="360" w:lineRule="auto"/>
        <w:jc w:val="center"/>
        <w:rPr>
          <w:rFonts w:ascii="宋体" w:hAnsi="宋体"/>
          <w:sz w:val="48"/>
          <w:szCs w:val="48"/>
        </w:rPr>
      </w:pPr>
    </w:p>
    <w:p>
      <w:pPr>
        <w:tabs>
          <w:tab w:val="left" w:pos="840"/>
          <w:tab w:val="left" w:pos="8280"/>
        </w:tabs>
        <w:spacing w:line="360" w:lineRule="auto"/>
        <w:ind w:firstLine="1185" w:firstLineChars="395"/>
        <w:rPr>
          <w:rFonts w:ascii="宋体" w:hAnsi="宋体" w:cs="楷体_GB2312"/>
          <w:sz w:val="30"/>
        </w:rPr>
      </w:pPr>
    </w:p>
    <w:p>
      <w:pPr>
        <w:tabs>
          <w:tab w:val="left" w:pos="840"/>
          <w:tab w:val="left" w:pos="8280"/>
        </w:tabs>
        <w:spacing w:line="360" w:lineRule="auto"/>
        <w:ind w:firstLine="1185" w:firstLineChars="395"/>
        <w:rPr>
          <w:rFonts w:ascii="宋体" w:hAnsi="宋体" w:cs="楷体_GB2312"/>
          <w:sz w:val="30"/>
        </w:rPr>
      </w:pPr>
      <w:r>
        <w:rPr>
          <w:rFonts w:hint="eastAsia" w:ascii="宋体" w:hAnsi="宋体" w:cs="楷体_GB2312"/>
          <w:sz w:val="30"/>
        </w:rPr>
        <w:t>项目编号：</w:t>
      </w:r>
    </w:p>
    <w:p>
      <w:pPr>
        <w:tabs>
          <w:tab w:val="left" w:pos="840"/>
          <w:tab w:val="left" w:pos="8280"/>
        </w:tabs>
        <w:spacing w:line="360" w:lineRule="auto"/>
        <w:ind w:firstLine="1185" w:firstLineChars="395"/>
        <w:rPr>
          <w:rFonts w:ascii="宋体" w:hAnsi="宋体" w:cs="楷体_GB2312"/>
          <w:sz w:val="30"/>
        </w:rPr>
      </w:pPr>
      <w:r>
        <w:rPr>
          <w:rFonts w:hint="eastAsia" w:ascii="宋体" w:hAnsi="宋体" w:cs="楷体_GB2312"/>
          <w:sz w:val="30"/>
        </w:rPr>
        <w:t>项目名称：</w:t>
      </w:r>
    </w:p>
    <w:p>
      <w:pPr>
        <w:tabs>
          <w:tab w:val="left" w:pos="840"/>
          <w:tab w:val="left" w:pos="8280"/>
        </w:tabs>
        <w:spacing w:line="360" w:lineRule="auto"/>
        <w:ind w:firstLine="1185" w:firstLineChars="395"/>
        <w:rPr>
          <w:rFonts w:ascii="宋体" w:hAnsi="宋体" w:cs="楷体_GB2312"/>
          <w:sz w:val="30"/>
        </w:rPr>
      </w:pPr>
      <w:r>
        <w:rPr>
          <w:rFonts w:hint="eastAsia" w:ascii="宋体" w:hAnsi="宋体" w:cs="楷体_GB2312"/>
          <w:sz w:val="30"/>
        </w:rPr>
        <w:t>供应商名称（盖章）：</w:t>
      </w:r>
    </w:p>
    <w:p>
      <w:pPr>
        <w:tabs>
          <w:tab w:val="left" w:pos="840"/>
          <w:tab w:val="left" w:pos="8280"/>
        </w:tabs>
        <w:spacing w:line="360" w:lineRule="auto"/>
        <w:ind w:firstLine="1185" w:firstLineChars="395"/>
        <w:rPr>
          <w:rFonts w:ascii="宋体" w:hAnsi="宋体" w:cs="楷体_GB2312"/>
          <w:sz w:val="30"/>
        </w:rPr>
      </w:pPr>
      <w:r>
        <w:rPr>
          <w:rFonts w:hint="eastAsia" w:ascii="宋体" w:hAnsi="宋体" w:cs="楷体_GB2312"/>
          <w:sz w:val="30"/>
        </w:rPr>
        <w:t>法定代表人或被授权人（签名或盖章）：</w:t>
      </w:r>
    </w:p>
    <w:p>
      <w:pPr>
        <w:spacing w:line="360" w:lineRule="auto"/>
        <w:ind w:firstLine="3360" w:firstLineChars="1050"/>
        <w:rPr>
          <w:rFonts w:ascii="宋体" w:hAnsi="宋体"/>
          <w:sz w:val="32"/>
          <w:szCs w:val="32"/>
        </w:rPr>
      </w:pPr>
    </w:p>
    <w:p>
      <w:pPr>
        <w:spacing w:line="360" w:lineRule="auto"/>
        <w:jc w:val="center"/>
        <w:rPr>
          <w:rFonts w:ascii="宋体" w:hAnsi="宋体"/>
          <w:sz w:val="32"/>
          <w:szCs w:val="32"/>
        </w:rPr>
      </w:pPr>
      <w:r>
        <w:rPr>
          <w:rFonts w:ascii="宋体" w:hAnsi="宋体"/>
          <w:sz w:val="32"/>
          <w:szCs w:val="32"/>
        </w:rPr>
        <w:t xml:space="preserve">  </w:t>
      </w:r>
      <w:r>
        <w:rPr>
          <w:rFonts w:hint="eastAsia" w:ascii="宋体" w:hAnsi="宋体"/>
          <w:sz w:val="32"/>
          <w:szCs w:val="32"/>
        </w:rPr>
        <w:t>年  月  日</w:t>
      </w:r>
      <w:bookmarkStart w:id="51" w:name="_Toc311189785"/>
    </w:p>
    <w:p>
      <w:pPr>
        <w:widowControl/>
        <w:spacing w:line="360" w:lineRule="auto"/>
        <w:jc w:val="left"/>
        <w:rPr>
          <w:rFonts w:ascii="宋体" w:hAnsi="宋体"/>
          <w:sz w:val="32"/>
          <w:szCs w:val="32"/>
        </w:rPr>
      </w:pPr>
      <w:r>
        <w:rPr>
          <w:rFonts w:ascii="宋体" w:hAnsi="宋体"/>
          <w:sz w:val="32"/>
          <w:szCs w:val="32"/>
        </w:rPr>
        <w:br w:type="page"/>
      </w:r>
    </w:p>
    <w:p>
      <w:pPr>
        <w:spacing w:line="360" w:lineRule="auto"/>
        <w:ind w:firstLine="480" w:firstLineChars="200"/>
        <w:jc w:val="center"/>
        <w:rPr>
          <w:rFonts w:ascii="宋体" w:hAnsi="宋体"/>
          <w:sz w:val="24"/>
        </w:rPr>
      </w:pPr>
      <w:r>
        <w:rPr>
          <w:rFonts w:hint="eastAsia" w:ascii="宋体" w:hAnsi="宋体"/>
          <w:sz w:val="24"/>
        </w:rPr>
        <w:t>评审项目资料表（此表置于目录之后）</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447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04" w:type="dxa"/>
            <w:vAlign w:val="center"/>
          </w:tcPr>
          <w:p>
            <w:pPr>
              <w:spacing w:line="360" w:lineRule="auto"/>
              <w:ind w:firstLine="480" w:firstLineChars="200"/>
              <w:rPr>
                <w:rFonts w:ascii="宋体" w:hAnsi="宋体"/>
                <w:sz w:val="24"/>
              </w:rPr>
            </w:pPr>
            <w:r>
              <w:rPr>
                <w:rFonts w:hint="eastAsia" w:ascii="宋体" w:hAnsi="宋体"/>
                <w:sz w:val="24"/>
              </w:rPr>
              <w:t>评审分项</w:t>
            </w:r>
          </w:p>
        </w:tc>
        <w:tc>
          <w:tcPr>
            <w:tcW w:w="4476" w:type="dxa"/>
            <w:vAlign w:val="center"/>
          </w:tcPr>
          <w:p>
            <w:pPr>
              <w:spacing w:line="360" w:lineRule="auto"/>
              <w:ind w:firstLine="1440" w:firstLineChars="600"/>
              <w:rPr>
                <w:rFonts w:ascii="宋体" w:hAnsi="宋体"/>
                <w:sz w:val="24"/>
              </w:rPr>
            </w:pPr>
            <w:r>
              <w:rPr>
                <w:rFonts w:hint="eastAsia" w:ascii="宋体" w:hAnsi="宋体"/>
                <w:sz w:val="24"/>
              </w:rPr>
              <w:t>评审细则</w:t>
            </w: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tcPr>
          <w:p>
            <w:pPr>
              <w:spacing w:line="360" w:lineRule="auto"/>
              <w:ind w:firstLine="480" w:firstLineChars="200"/>
              <w:rPr>
                <w:rFonts w:ascii="宋体" w:hAnsi="宋体"/>
                <w:sz w:val="24"/>
              </w:rPr>
            </w:pPr>
          </w:p>
        </w:tc>
        <w:tc>
          <w:tcPr>
            <w:tcW w:w="4476" w:type="dxa"/>
          </w:tcPr>
          <w:p>
            <w:pPr>
              <w:spacing w:line="360" w:lineRule="auto"/>
              <w:ind w:firstLine="480" w:firstLineChars="200"/>
              <w:rPr>
                <w:rFonts w:ascii="宋体" w:hAnsi="宋体"/>
                <w:sz w:val="24"/>
              </w:rPr>
            </w:pPr>
          </w:p>
        </w:tc>
        <w:tc>
          <w:tcPr>
            <w:tcW w:w="2693" w:type="dxa"/>
            <w:vAlign w:val="center"/>
          </w:tcPr>
          <w:p>
            <w:pPr>
              <w:spacing w:line="360" w:lineRule="auto"/>
              <w:ind w:leftChars="-8" w:hanging="16" w:hangingChars="7"/>
              <w:jc w:val="center"/>
              <w:rPr>
                <w:rFonts w:ascii="宋体" w:hAnsi="宋体"/>
                <w:sz w:val="24"/>
              </w:rPr>
            </w:pPr>
            <w:r>
              <w:rPr>
                <w:rFonts w:hint="eastAsia" w:ascii="宋体" w:hAnsi="宋体"/>
                <w:sz w:val="24"/>
              </w:rPr>
              <w:t>见响应文件第( )页</w:t>
            </w:r>
          </w:p>
        </w:tc>
      </w:tr>
    </w:tbl>
    <w:p>
      <w:pPr>
        <w:spacing w:line="360" w:lineRule="auto"/>
        <w:ind w:firstLine="480" w:firstLineChars="200"/>
        <w:rPr>
          <w:rFonts w:ascii="宋体" w:hAnsi="宋体"/>
          <w:sz w:val="24"/>
        </w:rPr>
      </w:pPr>
      <w:r>
        <w:rPr>
          <w:rFonts w:hint="eastAsia" w:ascii="宋体" w:hAnsi="宋体"/>
          <w:sz w:val="24"/>
        </w:rPr>
        <w:t>注：供应商应当根据技术及商务评审打分内容提供相应的证明材料，如未提供，评委有权认为不具备或不符合，并影响供应商的得分。</w:t>
      </w:r>
    </w:p>
    <w:p>
      <w:pPr>
        <w:widowControl/>
        <w:spacing w:line="360" w:lineRule="auto"/>
        <w:jc w:val="left"/>
        <w:rPr>
          <w:rFonts w:ascii="宋体" w:hAnsi="宋体"/>
          <w:sz w:val="24"/>
        </w:rPr>
      </w:pPr>
      <w:r>
        <w:rPr>
          <w:rFonts w:ascii="宋体" w:hAnsi="宋体"/>
          <w:sz w:val="24"/>
        </w:rPr>
        <w:br w:type="page"/>
      </w:r>
    </w:p>
    <w:p>
      <w:pPr>
        <w:pStyle w:val="3"/>
        <w:spacing w:line="360" w:lineRule="auto"/>
        <w:jc w:val="center"/>
        <w:rPr>
          <w:rFonts w:ascii="宋体" w:hAnsi="宋体" w:eastAsia="宋体" w:cs="黑体"/>
          <w:b/>
          <w:bCs/>
          <w:sz w:val="24"/>
          <w:szCs w:val="24"/>
        </w:rPr>
      </w:pPr>
      <w:bookmarkStart w:id="52" w:name="_Toc21350"/>
      <w:bookmarkStart w:id="53" w:name="_Toc393194385"/>
      <w:bookmarkStart w:id="54" w:name="_Toc21139"/>
      <w:bookmarkStart w:id="55" w:name="_Toc346"/>
      <w:r>
        <w:rPr>
          <w:rFonts w:hint="eastAsia" w:ascii="宋体" w:hAnsi="宋体" w:eastAsia="宋体" w:cs="黑体"/>
          <w:b/>
          <w:bCs/>
          <w:sz w:val="24"/>
          <w:szCs w:val="24"/>
        </w:rPr>
        <w:t>一、响应函</w:t>
      </w:r>
      <w:bookmarkEnd w:id="51"/>
      <w:bookmarkEnd w:id="52"/>
      <w:bookmarkEnd w:id="53"/>
      <w:bookmarkEnd w:id="54"/>
      <w:bookmarkEnd w:id="55"/>
    </w:p>
    <w:p>
      <w:pPr>
        <w:spacing w:line="360" w:lineRule="auto"/>
        <w:rPr>
          <w:rFonts w:ascii="宋体" w:hAnsi="宋体"/>
          <w:sz w:val="24"/>
        </w:rPr>
      </w:pPr>
      <w:r>
        <w:rPr>
          <w:rFonts w:hint="eastAsia" w:ascii="宋体" w:hAnsi="宋体"/>
          <w:sz w:val="24"/>
        </w:rPr>
        <w:t>致常州新禾招投标有限公司：</w:t>
      </w:r>
    </w:p>
    <w:p>
      <w:pPr>
        <w:spacing w:line="360" w:lineRule="auto"/>
        <w:ind w:firstLine="480" w:firstLineChars="200"/>
        <w:rPr>
          <w:rFonts w:ascii="宋体" w:hAnsi="宋体"/>
          <w:sz w:val="24"/>
        </w:rPr>
      </w:pPr>
      <w:r>
        <w:rPr>
          <w:rFonts w:hint="eastAsia" w:ascii="宋体" w:hAnsi="宋体"/>
          <w:sz w:val="24"/>
        </w:rPr>
        <w:t>我方收到贵单位磋商文件，经仔细阅读和研究，我们决定参加磋商。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、愿意按照磋商文件的一切要求，承接项目。一旦我方中标，我方保证在</w:t>
      </w:r>
      <w:r>
        <w:rPr>
          <w:rFonts w:hint="eastAsia" w:ascii="宋体" w:hAnsi="宋体"/>
          <w:sz w:val="24"/>
          <w:u w:val="single"/>
        </w:rPr>
        <w:t>合同签订后</w:t>
      </w:r>
      <w:r>
        <w:rPr>
          <w:rFonts w:hint="eastAsia" w:ascii="宋体" w:hAnsi="宋体"/>
          <w:sz w:val="24"/>
        </w:rPr>
        <w:t>立即履行合同约定的内容。</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、如果我们的响应文件被接受，我们将履行磋商文件中规定的每一项要求，按期、按质、按量，完成任务。</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、我们同意按磋商文件的规定，本响应文件的有效期限为开标后</w:t>
      </w:r>
      <w:r>
        <w:rPr>
          <w:rFonts w:ascii="宋体" w:hAnsi="宋体"/>
          <w:sz w:val="24"/>
          <w:u w:val="single"/>
        </w:rPr>
        <w:t>45</w:t>
      </w:r>
      <w:r>
        <w:rPr>
          <w:rFonts w:hint="eastAsia" w:ascii="宋体" w:hAnsi="宋体"/>
          <w:sz w:val="24"/>
        </w:rPr>
        <w:t>天。</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、我们愿意提供采购人在磋商文件中要求的原始资料。</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、我们认为你们有权决定中标者。</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、我们认可并遵守磋商文件的所有规定。</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、我们愿意按磋商文件的规定交纳磋商保证金。如我们在投标截止期后撤回投标及成交后拒绝遵守投标承诺或拒绝在规定的时间内与采购人签订合同则磋商保证金将被贵方没收。</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如果我方被确定为成交单位，我方愿意在领取成交通知书时支付规定的履约保证金。且我方如未履行磋商文件、响应文件和合同条款的，我方愿意赔偿由此而造成的一切损失，并同意接受按磋商文件的相关要求对我方进行处理。有不可抗力情形的除外。</w:t>
      </w:r>
    </w:p>
    <w:p>
      <w:pPr>
        <w:spacing w:line="360" w:lineRule="auto"/>
        <w:ind w:firstLine="480" w:firstLineChars="200"/>
        <w:rPr>
          <w:rFonts w:ascii="宋体" w:hAnsi="宋体"/>
          <w:sz w:val="24"/>
        </w:rPr>
      </w:pPr>
    </w:p>
    <w:p>
      <w:pPr>
        <w:spacing w:line="360" w:lineRule="auto"/>
        <w:ind w:firstLine="720" w:firstLineChars="300"/>
        <w:rPr>
          <w:rFonts w:ascii="宋体" w:hAnsi="宋体"/>
          <w:sz w:val="24"/>
        </w:rPr>
      </w:pPr>
      <w:r>
        <w:rPr>
          <w:rFonts w:hint="eastAsia" w:ascii="宋体" w:hAnsi="宋体"/>
          <w:sz w:val="24"/>
        </w:rPr>
        <w:t xml:space="preserve">供应商名称（盖章）：  </w:t>
      </w:r>
    </w:p>
    <w:p>
      <w:pPr>
        <w:spacing w:line="360" w:lineRule="auto"/>
        <w:ind w:firstLine="720" w:firstLineChars="300"/>
        <w:rPr>
          <w:rFonts w:ascii="宋体" w:hAnsi="宋体"/>
          <w:sz w:val="24"/>
        </w:rPr>
      </w:pPr>
      <w:r>
        <w:rPr>
          <w:rFonts w:hint="eastAsia" w:ascii="宋体" w:hAnsi="宋体"/>
          <w:sz w:val="24"/>
        </w:rPr>
        <w:t>法定代表人或被授权人（签名或盖章）：</w:t>
      </w:r>
    </w:p>
    <w:p>
      <w:pPr>
        <w:spacing w:line="360" w:lineRule="auto"/>
        <w:ind w:firstLine="720" w:firstLineChars="300"/>
        <w:rPr>
          <w:rFonts w:ascii="宋体" w:hAnsi="宋体"/>
          <w:sz w:val="24"/>
        </w:rPr>
      </w:pPr>
      <w:r>
        <w:rPr>
          <w:rFonts w:hint="eastAsia" w:ascii="宋体" w:hAnsi="宋体"/>
          <w:sz w:val="24"/>
        </w:rPr>
        <w:t xml:space="preserve">电话： </w:t>
      </w:r>
      <w:r>
        <w:rPr>
          <w:rFonts w:ascii="宋体" w:hAnsi="宋体"/>
          <w:sz w:val="24"/>
        </w:rPr>
        <w:t xml:space="preserve">                        </w:t>
      </w:r>
      <w:r>
        <w:rPr>
          <w:rFonts w:hint="eastAsia" w:ascii="宋体" w:hAnsi="宋体"/>
          <w:sz w:val="24"/>
        </w:rPr>
        <w:t>传真：</w:t>
      </w:r>
    </w:p>
    <w:p>
      <w:pPr>
        <w:spacing w:line="360" w:lineRule="auto"/>
        <w:ind w:firstLine="720" w:firstLineChars="300"/>
        <w:rPr>
          <w:rFonts w:ascii="宋体" w:hAnsi="宋体"/>
          <w:sz w:val="24"/>
        </w:rPr>
      </w:pPr>
      <w:r>
        <w:rPr>
          <w:rFonts w:hint="eastAsia" w:ascii="宋体" w:hAnsi="宋体"/>
          <w:sz w:val="24"/>
        </w:rPr>
        <w:t xml:space="preserve">地址： </w:t>
      </w:r>
      <w:r>
        <w:rPr>
          <w:rFonts w:ascii="宋体" w:hAnsi="宋体"/>
          <w:sz w:val="24"/>
        </w:rPr>
        <w:t xml:space="preserve">                        </w:t>
      </w:r>
      <w:r>
        <w:rPr>
          <w:rFonts w:hint="eastAsia" w:ascii="宋体" w:hAnsi="宋体"/>
          <w:sz w:val="24"/>
        </w:rPr>
        <w:t>邮编：</w:t>
      </w:r>
    </w:p>
    <w:p>
      <w:pPr>
        <w:spacing w:line="360" w:lineRule="auto"/>
        <w:ind w:firstLine="720" w:firstLineChars="300"/>
        <w:rPr>
          <w:rFonts w:ascii="宋体" w:hAnsi="宋体"/>
          <w:sz w:val="24"/>
        </w:rPr>
      </w:pPr>
      <w:r>
        <w:rPr>
          <w:rFonts w:hint="eastAsia" w:ascii="宋体" w:hAnsi="宋体"/>
          <w:sz w:val="24"/>
        </w:rPr>
        <w:t>开户名称：</w:t>
      </w:r>
    </w:p>
    <w:p>
      <w:pPr>
        <w:spacing w:line="360" w:lineRule="auto"/>
        <w:ind w:firstLine="720" w:firstLineChars="300"/>
        <w:rPr>
          <w:rFonts w:ascii="宋体" w:hAnsi="宋体"/>
          <w:sz w:val="24"/>
        </w:rPr>
      </w:pPr>
      <w:r>
        <w:rPr>
          <w:rFonts w:hint="eastAsia" w:ascii="宋体" w:hAnsi="宋体"/>
          <w:sz w:val="24"/>
        </w:rPr>
        <w:t>开户银行：</w:t>
      </w:r>
    </w:p>
    <w:p>
      <w:pPr>
        <w:spacing w:line="360" w:lineRule="auto"/>
        <w:ind w:firstLine="720" w:firstLineChars="300"/>
        <w:rPr>
          <w:rFonts w:ascii="宋体" w:hAnsi="宋体"/>
          <w:sz w:val="24"/>
        </w:rPr>
      </w:pPr>
      <w:r>
        <w:rPr>
          <w:rFonts w:hint="eastAsia" w:ascii="宋体" w:hAnsi="宋体"/>
          <w:sz w:val="24"/>
        </w:rPr>
        <w:t>开户账号：</w:t>
      </w:r>
    </w:p>
    <w:p>
      <w:pPr>
        <w:widowControl/>
        <w:spacing w:line="360" w:lineRule="auto"/>
        <w:jc w:val="left"/>
        <w:rPr>
          <w:rFonts w:ascii="宋体" w:hAnsi="宋体"/>
          <w:sz w:val="24"/>
        </w:rPr>
      </w:pPr>
      <w:r>
        <w:rPr>
          <w:rFonts w:ascii="宋体" w:hAnsi="宋体"/>
          <w:sz w:val="24"/>
        </w:rPr>
        <w:br w:type="page"/>
      </w:r>
    </w:p>
    <w:p>
      <w:pPr>
        <w:pStyle w:val="3"/>
        <w:spacing w:line="360" w:lineRule="auto"/>
        <w:jc w:val="center"/>
        <w:rPr>
          <w:rFonts w:ascii="宋体" w:hAnsi="宋体" w:eastAsia="宋体" w:cs="黑体"/>
          <w:b/>
          <w:bCs/>
          <w:sz w:val="24"/>
          <w:szCs w:val="24"/>
        </w:rPr>
      </w:pPr>
      <w:bookmarkStart w:id="56" w:name="_Toc393194386"/>
      <w:bookmarkStart w:id="57" w:name="_Toc194386107"/>
      <w:bookmarkStart w:id="58" w:name="_Toc145474400"/>
      <w:bookmarkStart w:id="59" w:name="_Toc158691780"/>
      <w:r>
        <w:rPr>
          <w:rFonts w:hint="eastAsia" w:ascii="宋体" w:hAnsi="宋体" w:eastAsia="宋体" w:cs="黑体"/>
          <w:b/>
          <w:bCs/>
          <w:sz w:val="24"/>
          <w:szCs w:val="24"/>
        </w:rPr>
        <w:t>二、开标一览表</w:t>
      </w:r>
      <w:bookmarkEnd w:id="56"/>
    </w:p>
    <w:p>
      <w:pPr>
        <w:spacing w:line="360" w:lineRule="auto"/>
        <w:jc w:val="center"/>
        <w:rPr>
          <w:rStyle w:val="65"/>
          <w:rFonts w:ascii="宋体" w:hAnsi="宋体"/>
          <w:sz w:val="24"/>
        </w:rPr>
      </w:pPr>
    </w:p>
    <w:bookmarkEnd w:id="57"/>
    <w:bookmarkEnd w:id="58"/>
    <w:bookmarkEnd w:id="59"/>
    <w:p>
      <w:pPr>
        <w:spacing w:line="360" w:lineRule="auto"/>
        <w:jc w:val="center"/>
        <w:rPr>
          <w:rStyle w:val="65"/>
          <w:rFonts w:ascii="宋体" w:hAnsi="宋体"/>
          <w:sz w:val="24"/>
        </w:rPr>
      </w:pPr>
      <w:bookmarkStart w:id="60" w:name="_Toc194386110"/>
      <w:bookmarkStart w:id="61" w:name="_Toc129333640"/>
      <w:bookmarkStart w:id="62" w:name="_Toc158691783"/>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5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7" w:type="dxa"/>
            <w:tcBorders>
              <w:top w:val="single" w:color="auto" w:sz="12" w:space="0"/>
              <w:bottom w:val="single" w:color="auto" w:sz="12" w:space="0"/>
              <w:right w:val="single" w:color="auto" w:sz="12" w:space="0"/>
            </w:tcBorders>
            <w:vAlign w:val="center"/>
          </w:tcPr>
          <w:p>
            <w:pPr>
              <w:widowControl/>
              <w:spacing w:line="360" w:lineRule="auto"/>
              <w:jc w:val="center"/>
              <w:rPr>
                <w:rFonts w:ascii="宋体" w:hAnsi="宋体"/>
                <w:kern w:val="0"/>
                <w:sz w:val="24"/>
              </w:rPr>
            </w:pPr>
            <w:r>
              <w:rPr>
                <w:rFonts w:hint="eastAsia" w:ascii="宋体" w:hAnsi="宋体"/>
                <w:kern w:val="0"/>
                <w:sz w:val="24"/>
              </w:rPr>
              <w:t>项目编号</w:t>
            </w:r>
          </w:p>
        </w:tc>
        <w:tc>
          <w:tcPr>
            <w:tcW w:w="7569" w:type="dxa"/>
            <w:tcBorders>
              <w:top w:val="single" w:color="auto" w:sz="12" w:space="0"/>
              <w:left w:val="single" w:color="auto" w:sz="12" w:space="0"/>
              <w:bottom w:val="single" w:color="auto" w:sz="12" w:space="0"/>
            </w:tcBorders>
            <w:vAlign w:val="center"/>
          </w:tcPr>
          <w:p>
            <w:pPr>
              <w:widowControl/>
              <w:spacing w:line="360" w:lineRule="auto"/>
              <w:jc w:val="center"/>
              <w:rPr>
                <w:rFonts w:ascii="宋体" w:hAnsi="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17" w:type="dxa"/>
            <w:tcBorders>
              <w:top w:val="single" w:color="auto" w:sz="12" w:space="0"/>
              <w:bottom w:val="single" w:color="auto" w:sz="12" w:space="0"/>
              <w:right w:val="single" w:color="auto" w:sz="12" w:space="0"/>
            </w:tcBorders>
            <w:vAlign w:val="center"/>
          </w:tcPr>
          <w:p>
            <w:pPr>
              <w:widowControl/>
              <w:spacing w:line="360" w:lineRule="auto"/>
              <w:jc w:val="center"/>
              <w:rPr>
                <w:rFonts w:ascii="宋体" w:hAnsi="宋体"/>
                <w:kern w:val="0"/>
                <w:sz w:val="24"/>
              </w:rPr>
            </w:pPr>
            <w:r>
              <w:rPr>
                <w:rFonts w:hint="eastAsia" w:ascii="宋体" w:hAnsi="宋体"/>
                <w:kern w:val="0"/>
                <w:sz w:val="24"/>
              </w:rPr>
              <w:t>项目名称</w:t>
            </w:r>
          </w:p>
        </w:tc>
        <w:tc>
          <w:tcPr>
            <w:tcW w:w="7569" w:type="dxa"/>
            <w:tcBorders>
              <w:top w:val="single" w:color="auto" w:sz="12" w:space="0"/>
              <w:left w:val="single" w:color="auto" w:sz="12" w:space="0"/>
              <w:bottom w:val="single" w:color="auto" w:sz="12" w:space="0"/>
            </w:tcBorders>
            <w:vAlign w:val="center"/>
          </w:tcPr>
          <w:p>
            <w:pPr>
              <w:widowControl/>
              <w:spacing w:line="360" w:lineRule="auto"/>
              <w:jc w:val="center"/>
              <w:rPr>
                <w:rFonts w:ascii="宋体" w:hAnsi="宋体"/>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1417" w:type="dxa"/>
            <w:tcBorders>
              <w:top w:val="single" w:color="auto" w:sz="12" w:space="0"/>
              <w:right w:val="single" w:color="auto" w:sz="12"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首轮报价</w:t>
            </w:r>
          </w:p>
          <w:p>
            <w:pPr>
              <w:widowControl/>
              <w:spacing w:line="360" w:lineRule="auto"/>
              <w:jc w:val="center"/>
              <w:rPr>
                <w:rFonts w:ascii="宋体" w:hAnsi="宋体"/>
                <w:b/>
                <w:bCs/>
                <w:kern w:val="0"/>
                <w:sz w:val="24"/>
              </w:rPr>
            </w:pPr>
            <w:r>
              <w:rPr>
                <w:rFonts w:hint="eastAsia" w:ascii="宋体" w:hAnsi="宋体"/>
                <w:b/>
                <w:bCs/>
                <w:kern w:val="0"/>
                <w:sz w:val="24"/>
              </w:rPr>
              <w:t>（元）</w:t>
            </w:r>
          </w:p>
        </w:tc>
        <w:tc>
          <w:tcPr>
            <w:tcW w:w="7569" w:type="dxa"/>
            <w:tcBorders>
              <w:top w:val="single" w:color="auto" w:sz="12" w:space="0"/>
              <w:left w:val="single" w:color="auto" w:sz="12" w:space="0"/>
            </w:tcBorders>
            <w:vAlign w:val="center"/>
          </w:tcPr>
          <w:p>
            <w:pPr>
              <w:snapToGrid w:val="0"/>
              <w:spacing w:line="360" w:lineRule="auto"/>
              <w:jc w:val="center"/>
              <w:rPr>
                <w:rStyle w:val="65"/>
                <w:rFonts w:ascii="宋体" w:hAnsi="宋体"/>
                <w:sz w:val="24"/>
              </w:rPr>
            </w:pPr>
            <w:r>
              <w:rPr>
                <w:rStyle w:val="65"/>
                <w:rFonts w:hint="eastAsia" w:ascii="宋体" w:hAnsi="宋体"/>
                <w:sz w:val="24"/>
              </w:rPr>
              <w:t>小写：</w:t>
            </w:r>
            <w:r>
              <w:rPr>
                <w:rStyle w:val="65"/>
                <w:rFonts w:hint="eastAsia" w:ascii="宋体" w:hAnsi="宋体"/>
                <w:sz w:val="24"/>
                <w:u w:val="single"/>
              </w:rPr>
              <w:t xml:space="preserve"> </w:t>
            </w:r>
            <w:r>
              <w:rPr>
                <w:rStyle w:val="65"/>
                <w:rFonts w:ascii="宋体" w:hAnsi="宋体"/>
                <w:sz w:val="24"/>
                <w:u w:val="single"/>
              </w:rPr>
              <w:t xml:space="preserve">                   </w:t>
            </w:r>
            <w:r>
              <w:rPr>
                <w:rStyle w:val="65"/>
                <w:rFonts w:hint="eastAsia" w:ascii="宋体" w:hAnsi="宋体"/>
                <w:sz w:val="24"/>
              </w:rPr>
              <w:t>元</w:t>
            </w:r>
          </w:p>
          <w:p>
            <w:pPr>
              <w:snapToGrid w:val="0"/>
              <w:spacing w:line="360" w:lineRule="auto"/>
              <w:jc w:val="center"/>
              <w:rPr>
                <w:rStyle w:val="65"/>
                <w:rFonts w:ascii="宋体" w:hAnsi="宋体"/>
                <w:sz w:val="24"/>
              </w:rPr>
            </w:pPr>
            <w:r>
              <w:rPr>
                <w:rStyle w:val="65"/>
                <w:rFonts w:hint="eastAsia" w:ascii="宋体" w:hAnsi="宋体"/>
                <w:sz w:val="24"/>
              </w:rPr>
              <w:t>大写：</w:t>
            </w:r>
            <w:r>
              <w:rPr>
                <w:rStyle w:val="65"/>
                <w:rFonts w:hint="eastAsia" w:ascii="宋体" w:hAnsi="宋体"/>
                <w:sz w:val="24"/>
                <w:u w:val="single"/>
              </w:rPr>
              <w:t xml:space="preserve"> </w:t>
            </w:r>
            <w:r>
              <w:rPr>
                <w:rStyle w:val="65"/>
                <w:rFonts w:ascii="宋体" w:hAnsi="宋体"/>
                <w:sz w:val="24"/>
                <w:u w:val="single"/>
              </w:rPr>
              <w:t xml:space="preserve">                   </w:t>
            </w:r>
            <w:r>
              <w:rPr>
                <w:rStyle w:val="65"/>
                <w:rFonts w:hint="eastAsia" w:ascii="宋体" w:hAnsi="宋体"/>
                <w:sz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417" w:type="dxa"/>
            <w:tcBorders>
              <w:top w:val="single" w:color="auto" w:sz="12" w:space="0"/>
              <w:bottom w:val="single" w:color="auto" w:sz="12" w:space="0"/>
              <w:right w:val="single" w:color="auto" w:sz="12" w:space="0"/>
            </w:tcBorders>
            <w:vAlign w:val="center"/>
          </w:tcPr>
          <w:p>
            <w:pPr>
              <w:spacing w:line="360" w:lineRule="auto"/>
              <w:rPr>
                <w:rFonts w:ascii="宋体" w:hAnsi="宋体"/>
                <w:kern w:val="0"/>
                <w:sz w:val="24"/>
              </w:rPr>
            </w:pPr>
            <w:r>
              <w:rPr>
                <w:rFonts w:hint="eastAsia" w:ascii="宋体" w:hAnsi="宋体"/>
                <w:sz w:val="24"/>
              </w:rPr>
              <w:t>其他需要说明的事项，自行添加。</w:t>
            </w:r>
          </w:p>
        </w:tc>
        <w:tc>
          <w:tcPr>
            <w:tcW w:w="7569" w:type="dxa"/>
            <w:tcBorders>
              <w:top w:val="single" w:color="auto" w:sz="12" w:space="0"/>
              <w:left w:val="single" w:color="auto" w:sz="12" w:space="0"/>
              <w:bottom w:val="single" w:color="auto" w:sz="12" w:space="0"/>
            </w:tcBorders>
            <w:vAlign w:val="center"/>
          </w:tcPr>
          <w:p>
            <w:pPr>
              <w:widowControl/>
              <w:spacing w:line="360" w:lineRule="auto"/>
              <w:ind w:firstLine="480" w:firstLineChars="200"/>
              <w:jc w:val="left"/>
              <w:rPr>
                <w:rFonts w:ascii="宋体" w:hAnsi="宋体"/>
                <w:kern w:val="0"/>
                <w:sz w:val="24"/>
              </w:rPr>
            </w:pPr>
            <w:r>
              <w:rPr>
                <w:rFonts w:hint="eastAsia" w:ascii="宋体" w:hAnsi="宋体"/>
                <w:kern w:val="0"/>
                <w:sz w:val="24"/>
              </w:rPr>
              <w:t>项目负责人：</w:t>
            </w:r>
          </w:p>
          <w:p>
            <w:pPr>
              <w:widowControl/>
              <w:spacing w:line="360" w:lineRule="auto"/>
              <w:ind w:firstLine="480" w:firstLineChars="200"/>
              <w:jc w:val="left"/>
              <w:rPr>
                <w:rFonts w:ascii="宋体" w:hAnsi="宋体"/>
                <w:kern w:val="0"/>
                <w:sz w:val="24"/>
              </w:rPr>
            </w:pPr>
            <w:r>
              <w:rPr>
                <w:rFonts w:hint="eastAsia" w:ascii="宋体" w:hAnsi="宋体"/>
                <w:kern w:val="0"/>
                <w:sz w:val="24"/>
              </w:rPr>
              <w:t>……</w:t>
            </w:r>
          </w:p>
        </w:tc>
      </w:tr>
    </w:tbl>
    <w:p>
      <w:pPr>
        <w:snapToGrid w:val="0"/>
        <w:spacing w:line="360" w:lineRule="auto"/>
        <w:rPr>
          <w:rFonts w:ascii="宋体" w:hAnsi="宋体"/>
          <w:b/>
          <w:sz w:val="24"/>
        </w:rPr>
      </w:pPr>
    </w:p>
    <w:p>
      <w:pPr>
        <w:snapToGrid w:val="0"/>
        <w:spacing w:line="360" w:lineRule="auto"/>
        <w:rPr>
          <w:rFonts w:ascii="宋体" w:hAnsi="宋体"/>
          <w:b/>
          <w:sz w:val="24"/>
        </w:rPr>
      </w:pPr>
    </w:p>
    <w:p>
      <w:pPr>
        <w:spacing w:line="360" w:lineRule="auto"/>
        <w:jc w:val="right"/>
        <w:rPr>
          <w:rFonts w:ascii="宋体" w:hAnsi="宋体"/>
          <w:sz w:val="24"/>
        </w:rPr>
      </w:pPr>
    </w:p>
    <w:p>
      <w:pPr>
        <w:spacing w:line="360" w:lineRule="auto"/>
        <w:ind w:firstLine="4394" w:firstLineChars="1831"/>
        <w:jc w:val="left"/>
        <w:rPr>
          <w:rFonts w:ascii="宋体" w:hAnsi="宋体"/>
          <w:sz w:val="24"/>
        </w:rPr>
      </w:pPr>
      <w:r>
        <w:rPr>
          <w:rFonts w:hint="eastAsia" w:ascii="宋体" w:hAnsi="宋体"/>
          <w:sz w:val="24"/>
        </w:rPr>
        <w:t>供应商名称（盖章）：</w:t>
      </w:r>
    </w:p>
    <w:p>
      <w:pPr>
        <w:spacing w:line="360" w:lineRule="auto"/>
        <w:ind w:firstLine="4394" w:firstLineChars="1831"/>
        <w:jc w:val="left"/>
        <w:rPr>
          <w:rFonts w:ascii="宋体" w:hAnsi="宋体"/>
          <w:sz w:val="24"/>
        </w:rPr>
      </w:pPr>
    </w:p>
    <w:p>
      <w:pPr>
        <w:spacing w:line="360" w:lineRule="auto"/>
        <w:ind w:firstLine="4394" w:firstLineChars="1831"/>
        <w:jc w:val="left"/>
        <w:rPr>
          <w:rFonts w:ascii="宋体" w:hAnsi="宋体"/>
          <w:sz w:val="24"/>
        </w:rPr>
      </w:pPr>
      <w:r>
        <w:rPr>
          <w:rFonts w:hint="eastAsia" w:ascii="宋体" w:hAnsi="宋体"/>
          <w:sz w:val="24"/>
        </w:rPr>
        <w:t>法定代表人或被授权人（签名或盖章）：</w:t>
      </w:r>
    </w:p>
    <w:p>
      <w:pPr>
        <w:spacing w:line="360" w:lineRule="auto"/>
        <w:ind w:firstLine="4394" w:firstLineChars="1831"/>
        <w:jc w:val="left"/>
        <w:rPr>
          <w:rFonts w:ascii="宋体" w:hAnsi="宋体"/>
          <w:sz w:val="24"/>
        </w:rPr>
      </w:pPr>
    </w:p>
    <w:p>
      <w:pPr>
        <w:spacing w:line="360" w:lineRule="auto"/>
        <w:ind w:firstLine="4394" w:firstLineChars="1831"/>
        <w:jc w:val="left"/>
        <w:rPr>
          <w:rFonts w:ascii="宋体" w:hAnsi="宋体"/>
          <w:sz w:val="24"/>
        </w:rPr>
      </w:pPr>
      <w:r>
        <w:rPr>
          <w:rFonts w:hint="eastAsia" w:ascii="宋体" w:hAnsi="宋体"/>
          <w:sz w:val="24"/>
        </w:rPr>
        <w:t>日期：　　　年　　月　　日</w:t>
      </w:r>
    </w:p>
    <w:p>
      <w:pPr>
        <w:widowControl/>
        <w:spacing w:line="360" w:lineRule="auto"/>
        <w:jc w:val="left"/>
        <w:rPr>
          <w:rFonts w:ascii="宋体" w:hAnsi="宋体"/>
          <w:sz w:val="24"/>
        </w:rPr>
      </w:pPr>
      <w:r>
        <w:rPr>
          <w:rFonts w:ascii="宋体" w:hAnsi="宋体"/>
          <w:sz w:val="24"/>
        </w:rPr>
        <w:br w:type="page"/>
      </w:r>
    </w:p>
    <w:bookmarkEnd w:id="60"/>
    <w:bookmarkEnd w:id="61"/>
    <w:bookmarkEnd w:id="62"/>
    <w:p>
      <w:pPr>
        <w:pStyle w:val="3"/>
        <w:spacing w:line="360" w:lineRule="auto"/>
        <w:jc w:val="center"/>
        <w:rPr>
          <w:rFonts w:ascii="宋体" w:hAnsi="宋体" w:eastAsia="宋体" w:cs="黑体"/>
          <w:b/>
          <w:bCs/>
          <w:sz w:val="24"/>
          <w:szCs w:val="24"/>
        </w:rPr>
        <w:sectPr>
          <w:headerReference r:id="rId4" w:type="default"/>
          <w:footerReference r:id="rId5" w:type="default"/>
          <w:footerReference r:id="rId6" w:type="even"/>
          <w:pgSz w:w="11906" w:h="16838"/>
          <w:pgMar w:top="1440" w:right="1077" w:bottom="1440" w:left="1077" w:header="851" w:footer="992" w:gutter="0"/>
          <w:cols w:space="720" w:num="1"/>
          <w:docGrid w:type="lines" w:linePitch="312" w:charSpace="0"/>
        </w:sectPr>
      </w:pPr>
      <w:bookmarkStart w:id="63" w:name="_Toc30417"/>
      <w:bookmarkStart w:id="64" w:name="_Toc222799676"/>
      <w:bookmarkStart w:id="65" w:name="_Toc311189788"/>
      <w:bookmarkStart w:id="66" w:name="_Toc194739809"/>
      <w:bookmarkStart w:id="67" w:name="_Toc425"/>
      <w:bookmarkStart w:id="68" w:name="_Toc373054875"/>
      <w:bookmarkStart w:id="69" w:name="_Toc29116"/>
    </w:p>
    <w:p>
      <w:pPr>
        <w:pStyle w:val="3"/>
        <w:spacing w:line="360" w:lineRule="auto"/>
        <w:jc w:val="center"/>
        <w:rPr>
          <w:rFonts w:ascii="宋体" w:hAnsi="宋体" w:eastAsia="宋体" w:cs="黑体"/>
          <w:b/>
          <w:bCs/>
          <w:sz w:val="24"/>
          <w:szCs w:val="24"/>
        </w:rPr>
      </w:pPr>
      <w:r>
        <w:rPr>
          <w:rFonts w:hint="eastAsia" w:ascii="宋体" w:hAnsi="宋体" w:eastAsia="宋体" w:cs="黑体"/>
          <w:b/>
          <w:bCs/>
          <w:sz w:val="24"/>
          <w:szCs w:val="24"/>
        </w:rPr>
        <w:t>三、报价明细表</w:t>
      </w:r>
    </w:p>
    <w:p>
      <w:pPr>
        <w:tabs>
          <w:tab w:val="left" w:pos="1800"/>
          <w:tab w:val="left" w:pos="5580"/>
        </w:tabs>
        <w:spacing w:line="360" w:lineRule="auto"/>
        <w:rPr>
          <w:rFonts w:ascii="宋体" w:hAnsi="宋体"/>
          <w:sz w:val="24"/>
        </w:rPr>
      </w:pPr>
      <w:r>
        <w:rPr>
          <w:rFonts w:ascii="宋体" w:hAnsi="宋体"/>
          <w:sz w:val="24"/>
        </w:rPr>
        <w:t>项目编号：_________                         项目名称：__________                                 报价单位：人民币元</w:t>
      </w:r>
    </w:p>
    <w:p>
      <w:pPr>
        <w:tabs>
          <w:tab w:val="left" w:pos="1800"/>
          <w:tab w:val="left" w:pos="5580"/>
        </w:tabs>
        <w:spacing w:line="360" w:lineRule="auto"/>
        <w:rPr>
          <w:rFonts w:ascii="宋体" w:hAnsi="宋体"/>
          <w:sz w:val="24"/>
        </w:rPr>
      </w:pPr>
    </w:p>
    <w:tbl>
      <w:tblPr>
        <w:tblStyle w:val="22"/>
        <w:tblW w:w="996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22"/>
        <w:gridCol w:w="773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2222" w:type="dxa"/>
            <w:tcBorders>
              <w:tl2br w:val="nil"/>
              <w:tr2bl w:val="nil"/>
            </w:tcBorders>
            <w:tcMar>
              <w:top w:w="0" w:type="dxa"/>
              <w:left w:w="108" w:type="dxa"/>
              <w:bottom w:w="0" w:type="dxa"/>
              <w:right w:w="108" w:type="dxa"/>
            </w:tcMar>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项目编号</w:t>
            </w:r>
          </w:p>
        </w:tc>
        <w:tc>
          <w:tcPr>
            <w:tcW w:w="7738" w:type="dxa"/>
            <w:tcBorders>
              <w:tl2br w:val="nil"/>
              <w:tr2bl w:val="nil"/>
            </w:tcBorders>
            <w:tcMar>
              <w:top w:w="0" w:type="dxa"/>
              <w:left w:w="108" w:type="dxa"/>
              <w:bottom w:w="0" w:type="dxa"/>
              <w:right w:w="108" w:type="dxa"/>
            </w:tcMar>
            <w:vAlign w:val="center"/>
          </w:tcPr>
          <w:p>
            <w:pPr>
              <w:widowControl/>
              <w:spacing w:line="360" w:lineRule="exact"/>
              <w:jc w:val="center"/>
              <w:rPr>
                <w:rFonts w:ascii="宋体" w:hAnsi="宋体" w:cs="宋体"/>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2222" w:type="dxa"/>
            <w:tcBorders>
              <w:tl2br w:val="nil"/>
              <w:tr2bl w:val="nil"/>
            </w:tcBorders>
            <w:tcMar>
              <w:top w:w="0" w:type="dxa"/>
              <w:left w:w="108" w:type="dxa"/>
              <w:bottom w:w="0" w:type="dxa"/>
              <w:right w:w="108" w:type="dxa"/>
            </w:tcMar>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项目名称</w:t>
            </w:r>
          </w:p>
        </w:tc>
        <w:tc>
          <w:tcPr>
            <w:tcW w:w="7738" w:type="dxa"/>
            <w:tcBorders>
              <w:tl2br w:val="nil"/>
              <w:tr2bl w:val="nil"/>
            </w:tcBorders>
            <w:tcMar>
              <w:top w:w="0" w:type="dxa"/>
              <w:left w:w="108" w:type="dxa"/>
              <w:bottom w:w="0" w:type="dxa"/>
              <w:right w:w="108" w:type="dxa"/>
            </w:tcMar>
            <w:vAlign w:val="center"/>
          </w:tcPr>
          <w:p>
            <w:pPr>
              <w:widowControl/>
              <w:spacing w:line="360" w:lineRule="exact"/>
              <w:jc w:val="center"/>
              <w:rPr>
                <w:rFonts w:ascii="宋体" w:hAnsi="宋体" w:cs="宋体"/>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2222" w:type="dxa"/>
            <w:tcBorders>
              <w:tl2br w:val="nil"/>
              <w:tr2bl w:val="nil"/>
            </w:tcBorders>
            <w:tcMar>
              <w:top w:w="0" w:type="dxa"/>
              <w:left w:w="108" w:type="dxa"/>
              <w:bottom w:w="0" w:type="dxa"/>
              <w:right w:w="108" w:type="dxa"/>
            </w:tcMar>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总价</w:t>
            </w:r>
          </w:p>
          <w:p>
            <w:pPr>
              <w:widowControl/>
              <w:spacing w:line="360" w:lineRule="exact"/>
              <w:jc w:val="center"/>
              <w:rPr>
                <w:rFonts w:ascii="宋体" w:hAnsi="宋体" w:cs="宋体"/>
                <w:color w:val="000000"/>
                <w:sz w:val="24"/>
              </w:rPr>
            </w:pPr>
            <w:r>
              <w:rPr>
                <w:rFonts w:hint="eastAsia" w:ascii="宋体" w:hAnsi="宋体" w:cs="宋体"/>
                <w:color w:val="000000"/>
                <w:sz w:val="24"/>
              </w:rPr>
              <w:t>（人民币：元）</w:t>
            </w:r>
          </w:p>
        </w:tc>
        <w:tc>
          <w:tcPr>
            <w:tcW w:w="7738" w:type="dxa"/>
            <w:tcBorders>
              <w:tl2br w:val="nil"/>
              <w:tr2bl w:val="nil"/>
            </w:tcBorders>
            <w:tcMar>
              <w:top w:w="0" w:type="dxa"/>
              <w:left w:w="108" w:type="dxa"/>
              <w:bottom w:w="0" w:type="dxa"/>
              <w:right w:w="108" w:type="dxa"/>
            </w:tcMar>
            <w:vAlign w:val="center"/>
          </w:tcPr>
          <w:p>
            <w:pPr>
              <w:widowControl/>
              <w:spacing w:line="480" w:lineRule="auto"/>
              <w:ind w:firstLine="480"/>
              <w:jc w:val="left"/>
              <w:rPr>
                <w:rFonts w:ascii="宋体" w:hAnsi="宋体" w:cs="宋体"/>
                <w:color w:val="000000"/>
                <w:sz w:val="24"/>
                <w:u w:val="single"/>
              </w:rPr>
            </w:pPr>
            <w:r>
              <w:rPr>
                <w:rFonts w:hint="eastAsia" w:ascii="宋体" w:hAnsi="宋体" w:cs="宋体"/>
                <w:color w:val="000000"/>
                <w:sz w:val="24"/>
              </w:rPr>
              <w:t xml:space="preserve">小写： </w:t>
            </w:r>
            <w:r>
              <w:rPr>
                <w:rFonts w:hint="eastAsia" w:ascii="宋体" w:hAnsi="宋体" w:cs="宋体"/>
                <w:color w:val="000000"/>
                <w:sz w:val="24"/>
                <w:u w:val="single"/>
              </w:rPr>
              <w:t xml:space="preserve">                              元</w:t>
            </w:r>
          </w:p>
          <w:p>
            <w:pPr>
              <w:widowControl/>
              <w:spacing w:line="480" w:lineRule="auto"/>
              <w:ind w:firstLine="480"/>
              <w:jc w:val="left"/>
              <w:rPr>
                <w:rFonts w:ascii="宋体" w:hAnsi="宋体" w:cs="宋体"/>
                <w:color w:val="000000"/>
                <w:sz w:val="24"/>
              </w:rPr>
            </w:pPr>
            <w:r>
              <w:rPr>
                <w:rFonts w:hint="eastAsia" w:ascii="宋体" w:hAnsi="宋体" w:cs="宋体"/>
                <w:color w:val="000000"/>
                <w:sz w:val="24"/>
              </w:rPr>
              <w:t>大写：</w:t>
            </w:r>
            <w:r>
              <w:rPr>
                <w:rFonts w:hint="eastAsia" w:ascii="宋体" w:hAnsi="宋体" w:cs="宋体"/>
                <w:color w:val="000000"/>
                <w:sz w:val="24"/>
                <w:u w:val="single"/>
              </w:rPr>
              <w:t xml:space="preserve">                               元</w:t>
            </w:r>
          </w:p>
        </w:tc>
      </w:tr>
    </w:tbl>
    <w:p>
      <w:pPr>
        <w:tabs>
          <w:tab w:val="left" w:pos="1800"/>
          <w:tab w:val="left" w:pos="5580"/>
        </w:tabs>
        <w:spacing w:line="360" w:lineRule="auto"/>
        <w:rPr>
          <w:rFonts w:ascii="宋体" w:hAnsi="宋体"/>
          <w:sz w:val="24"/>
        </w:rPr>
      </w:pPr>
    </w:p>
    <w:p>
      <w:pPr>
        <w:tabs>
          <w:tab w:val="left" w:pos="1800"/>
          <w:tab w:val="left" w:pos="5580"/>
        </w:tabs>
        <w:spacing w:line="360" w:lineRule="auto"/>
        <w:jc w:val="left"/>
        <w:rPr>
          <w:rFonts w:ascii="宋体" w:hAnsi="宋体"/>
          <w:sz w:val="24"/>
        </w:rPr>
      </w:pPr>
      <w:bookmarkStart w:id="70" w:name="_Hlk149916463"/>
      <w:r>
        <w:rPr>
          <w:rFonts w:ascii="宋体" w:hAnsi="宋体"/>
          <w:sz w:val="24"/>
        </w:rPr>
        <w:t>注：1</w:t>
      </w:r>
      <w:r>
        <w:rPr>
          <w:rFonts w:hint="eastAsia" w:ascii="宋体" w:hAnsi="宋体"/>
          <w:sz w:val="24"/>
        </w:rPr>
        <w:t>、</w:t>
      </w:r>
      <w:r>
        <w:rPr>
          <w:rFonts w:ascii="宋体" w:hAnsi="宋体"/>
          <w:sz w:val="24"/>
        </w:rPr>
        <w:t>如果不提供</w:t>
      </w:r>
      <w:r>
        <w:rPr>
          <w:rFonts w:hint="eastAsia" w:ascii="宋体" w:hAnsi="宋体"/>
          <w:sz w:val="24"/>
        </w:rPr>
        <w:t>明细</w:t>
      </w:r>
      <w:r>
        <w:rPr>
          <w:rFonts w:ascii="宋体" w:hAnsi="宋体"/>
          <w:sz w:val="24"/>
        </w:rPr>
        <w:t>报价将视为没有实质性响应</w:t>
      </w:r>
      <w:r>
        <w:rPr>
          <w:rFonts w:hint="eastAsia" w:ascii="宋体" w:hAnsi="宋体"/>
          <w:sz w:val="24"/>
        </w:rPr>
        <w:t>磋商</w:t>
      </w:r>
      <w:r>
        <w:rPr>
          <w:rFonts w:ascii="宋体" w:hAnsi="宋体"/>
          <w:sz w:val="24"/>
        </w:rPr>
        <w:t>文件。</w:t>
      </w:r>
    </w:p>
    <w:p>
      <w:pPr>
        <w:tabs>
          <w:tab w:val="left" w:pos="1800"/>
          <w:tab w:val="left" w:pos="5580"/>
        </w:tabs>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、本表行数可以按照项目分项情况增加。</w:t>
      </w:r>
    </w:p>
    <w:p>
      <w:pPr>
        <w:tabs>
          <w:tab w:val="left" w:pos="1800"/>
          <w:tab w:val="left" w:pos="5580"/>
        </w:tabs>
        <w:spacing w:line="360" w:lineRule="auto"/>
        <w:ind w:firstLine="480" w:firstLineChars="200"/>
        <w:jc w:val="left"/>
        <w:rPr>
          <w:rFonts w:ascii="宋体" w:hAnsi="宋体"/>
          <w:sz w:val="24"/>
        </w:rPr>
      </w:pPr>
      <w:r>
        <w:rPr>
          <w:rFonts w:hint="eastAsia" w:ascii="宋体" w:hAnsi="宋体"/>
          <w:sz w:val="24"/>
        </w:rPr>
        <w:t>3、上述各项的内容如表格中填写不下的，可以逐项另页描述。</w:t>
      </w:r>
    </w:p>
    <w:p>
      <w:pPr>
        <w:tabs>
          <w:tab w:val="left" w:pos="1800"/>
          <w:tab w:val="left" w:pos="5580"/>
        </w:tabs>
        <w:spacing w:line="360" w:lineRule="auto"/>
        <w:ind w:firstLine="480" w:firstLineChars="200"/>
        <w:jc w:val="left"/>
        <w:rPr>
          <w:rFonts w:ascii="宋体" w:hAnsi="宋体"/>
          <w:sz w:val="24"/>
        </w:rPr>
      </w:pPr>
      <w:r>
        <w:rPr>
          <w:rFonts w:hint="eastAsia" w:ascii="宋体" w:hAnsi="宋体"/>
          <w:sz w:val="24"/>
        </w:rPr>
        <w:t>4、本表报价并非最终报价。</w:t>
      </w:r>
    </w:p>
    <w:bookmarkEnd w:id="70"/>
    <w:p>
      <w:pPr>
        <w:spacing w:line="360" w:lineRule="auto"/>
        <w:ind w:firstLine="4394" w:firstLineChars="1831"/>
        <w:jc w:val="right"/>
        <w:rPr>
          <w:rFonts w:ascii="宋体" w:hAnsi="宋体"/>
          <w:sz w:val="24"/>
        </w:rPr>
      </w:pPr>
      <w:r>
        <w:rPr>
          <w:rFonts w:hint="eastAsia" w:ascii="宋体" w:hAnsi="宋体"/>
          <w:sz w:val="24"/>
        </w:rPr>
        <w:t>供应商名称（盖章）：</w:t>
      </w:r>
    </w:p>
    <w:p>
      <w:pPr>
        <w:spacing w:line="360" w:lineRule="auto"/>
        <w:ind w:firstLine="4394" w:firstLineChars="1831"/>
        <w:jc w:val="right"/>
        <w:rPr>
          <w:rFonts w:ascii="宋体" w:hAnsi="宋体"/>
          <w:sz w:val="24"/>
        </w:rPr>
      </w:pPr>
      <w:r>
        <w:rPr>
          <w:rFonts w:hint="eastAsia" w:ascii="宋体" w:hAnsi="宋体"/>
          <w:sz w:val="24"/>
        </w:rPr>
        <w:t>法定代表人或被授权人（签名或盖章）：</w:t>
      </w:r>
    </w:p>
    <w:p>
      <w:pPr>
        <w:spacing w:line="360" w:lineRule="auto"/>
        <w:ind w:firstLine="4394" w:firstLineChars="1831"/>
        <w:jc w:val="right"/>
        <w:rPr>
          <w:rFonts w:ascii="宋体" w:hAnsi="宋体"/>
          <w:sz w:val="24"/>
        </w:rPr>
      </w:pPr>
      <w:r>
        <w:rPr>
          <w:rFonts w:hint="eastAsia" w:ascii="宋体" w:hAnsi="宋体"/>
          <w:sz w:val="24"/>
        </w:rPr>
        <w:t>日期：　　　年　　月　　日</w:t>
      </w:r>
    </w:p>
    <w:p>
      <w:pPr>
        <w:spacing w:line="360" w:lineRule="auto"/>
        <w:rPr>
          <w:rFonts w:ascii="宋体" w:hAnsi="宋体"/>
          <w:sz w:val="24"/>
        </w:rPr>
        <w:sectPr>
          <w:pgSz w:w="11906" w:h="16838"/>
          <w:pgMar w:top="1440" w:right="1077" w:bottom="1440" w:left="1077" w:header="851" w:footer="992" w:gutter="0"/>
          <w:cols w:space="720" w:num="1"/>
          <w:docGrid w:type="lines" w:linePitch="312" w:charSpace="0"/>
        </w:sectPr>
      </w:pPr>
    </w:p>
    <w:p>
      <w:pPr>
        <w:keepNext/>
        <w:keepLines/>
        <w:spacing w:line="360" w:lineRule="auto"/>
        <w:jc w:val="center"/>
        <w:outlineLvl w:val="1"/>
        <w:rPr>
          <w:rFonts w:ascii="宋体" w:hAnsi="宋体"/>
          <w:b/>
          <w:bCs/>
          <w:sz w:val="24"/>
          <w:lang w:val="zh-CN"/>
        </w:rPr>
      </w:pPr>
      <w:bookmarkStart w:id="71" w:name="_Toc437339259"/>
      <w:bookmarkStart w:id="72" w:name="_Toc483256453"/>
      <w:bookmarkStart w:id="73" w:name="_Toc437349870"/>
      <w:r>
        <w:rPr>
          <w:rFonts w:hint="eastAsia" w:ascii="宋体" w:hAnsi="宋体"/>
          <w:b/>
          <w:bCs/>
          <w:sz w:val="24"/>
          <w:lang w:val="zh-CN"/>
        </w:rPr>
        <w:t>四、</w:t>
      </w:r>
      <w:bookmarkStart w:id="74" w:name="_Hlk66659837"/>
      <w:r>
        <w:rPr>
          <w:rFonts w:hint="eastAsia" w:ascii="宋体" w:hAnsi="宋体"/>
          <w:b/>
          <w:bCs/>
          <w:sz w:val="24"/>
          <w:lang w:val="zh-CN"/>
        </w:rPr>
        <w:t>项目组成员配备情况</w:t>
      </w:r>
      <w:r>
        <w:rPr>
          <w:rFonts w:ascii="宋体" w:hAnsi="宋体"/>
          <w:b/>
          <w:bCs/>
          <w:sz w:val="24"/>
          <w:lang w:val="zh-CN"/>
        </w:rPr>
        <w:t>表</w:t>
      </w:r>
      <w:bookmarkEnd w:id="71"/>
      <w:bookmarkEnd w:id="72"/>
      <w:bookmarkEnd w:id="73"/>
      <w:bookmarkEnd w:id="74"/>
    </w:p>
    <w:tbl>
      <w:tblPr>
        <w:tblStyle w:val="22"/>
        <w:tblW w:w="93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1181"/>
        <w:gridCol w:w="984"/>
        <w:gridCol w:w="1752"/>
        <w:gridCol w:w="2628"/>
        <w:gridCol w:w="21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r>
              <w:rPr>
                <w:rFonts w:ascii="宋体" w:hAnsi="宋体"/>
                <w:bCs/>
                <w:spacing w:val="10"/>
                <w:sz w:val="24"/>
              </w:rPr>
              <w:t>序号</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r>
              <w:rPr>
                <w:rFonts w:ascii="宋体" w:hAnsi="宋体"/>
                <w:bCs/>
                <w:spacing w:val="10"/>
                <w:sz w:val="24"/>
              </w:rPr>
              <w:t>姓名</w:t>
            </w: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r>
              <w:rPr>
                <w:rFonts w:hint="eastAsia" w:ascii="宋体" w:hAnsi="宋体"/>
                <w:bCs/>
                <w:spacing w:val="10"/>
                <w:sz w:val="24"/>
              </w:rPr>
              <w:t>年龄</w:t>
            </w:r>
          </w:p>
        </w:tc>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r>
              <w:rPr>
                <w:rFonts w:hint="eastAsia" w:ascii="宋体" w:hAnsi="宋体"/>
                <w:bCs/>
                <w:spacing w:val="10"/>
                <w:sz w:val="24"/>
              </w:rPr>
              <w:t>职称</w:t>
            </w:r>
          </w:p>
        </w:tc>
        <w:tc>
          <w:tcPr>
            <w:tcW w:w="2628"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pacing w:val="10"/>
                <w:sz w:val="24"/>
              </w:rPr>
            </w:pPr>
            <w:r>
              <w:rPr>
                <w:rFonts w:hint="eastAsia" w:ascii="宋体" w:hAnsi="宋体"/>
                <w:bCs/>
                <w:spacing w:val="10"/>
                <w:sz w:val="24"/>
              </w:rPr>
              <w:t>执（职）业资格证书</w:t>
            </w:r>
          </w:p>
        </w:tc>
        <w:tc>
          <w:tcPr>
            <w:tcW w:w="2114"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pacing w:val="10"/>
                <w:sz w:val="24"/>
              </w:rPr>
            </w:pPr>
            <w:r>
              <w:rPr>
                <w:rFonts w:ascii="宋体" w:hAnsi="宋体"/>
                <w:bCs/>
                <w:spacing w:val="10"/>
                <w:sz w:val="24"/>
              </w:rPr>
              <w:t>拟担任本项目的</w:t>
            </w:r>
          </w:p>
          <w:p>
            <w:pPr>
              <w:spacing w:line="360" w:lineRule="auto"/>
              <w:jc w:val="center"/>
              <w:rPr>
                <w:rFonts w:ascii="宋体" w:hAnsi="宋体"/>
                <w:bCs/>
                <w:spacing w:val="10"/>
                <w:sz w:val="24"/>
              </w:rPr>
            </w:pPr>
            <w:r>
              <w:rPr>
                <w:rFonts w:ascii="宋体" w:hAnsi="宋体"/>
                <w:bCs/>
                <w:spacing w:val="10"/>
                <w:sz w:val="24"/>
              </w:rPr>
              <w:t>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r>
              <w:rPr>
                <w:rFonts w:ascii="宋体" w:hAnsi="宋体"/>
                <w:bCs/>
                <w:spacing w:val="10"/>
                <w:sz w:val="24"/>
              </w:rPr>
              <w:t>1</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pacing w:val="10"/>
                <w:sz w:val="24"/>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2628" w:type="dxa"/>
            <w:tcBorders>
              <w:top w:val="single" w:color="auto" w:sz="4" w:space="0"/>
              <w:left w:val="single" w:color="auto" w:sz="4" w:space="0"/>
              <w:right w:val="single" w:color="auto" w:sz="4" w:space="0"/>
            </w:tcBorders>
          </w:tcPr>
          <w:p>
            <w:pPr>
              <w:spacing w:line="360" w:lineRule="auto"/>
              <w:jc w:val="center"/>
              <w:rPr>
                <w:rFonts w:ascii="宋体" w:hAnsi="宋体"/>
                <w:bCs/>
                <w:spacing w:val="10"/>
                <w:sz w:val="24"/>
              </w:rPr>
            </w:pPr>
          </w:p>
        </w:tc>
        <w:tc>
          <w:tcPr>
            <w:tcW w:w="2114"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r>
              <w:rPr>
                <w:rFonts w:ascii="宋体" w:hAnsi="宋体"/>
                <w:bCs/>
                <w:spacing w:val="10"/>
                <w:sz w:val="24"/>
              </w:rPr>
              <w:t>2</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pacing w:val="10"/>
                <w:sz w:val="24"/>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2628" w:type="dxa"/>
            <w:tcBorders>
              <w:top w:val="single" w:color="auto" w:sz="4" w:space="0"/>
              <w:left w:val="single" w:color="auto" w:sz="4" w:space="0"/>
              <w:right w:val="single" w:color="auto" w:sz="4" w:space="0"/>
            </w:tcBorders>
          </w:tcPr>
          <w:p>
            <w:pPr>
              <w:spacing w:line="360" w:lineRule="auto"/>
              <w:jc w:val="center"/>
              <w:rPr>
                <w:rFonts w:ascii="宋体" w:hAnsi="宋体"/>
                <w:bCs/>
                <w:spacing w:val="10"/>
                <w:sz w:val="24"/>
              </w:rPr>
            </w:pPr>
          </w:p>
        </w:tc>
        <w:tc>
          <w:tcPr>
            <w:tcW w:w="2114"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r>
              <w:rPr>
                <w:rFonts w:ascii="宋体" w:hAnsi="宋体"/>
                <w:bCs/>
                <w:spacing w:val="10"/>
                <w:sz w:val="24"/>
              </w:rPr>
              <w:t>3</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pacing w:val="10"/>
                <w:sz w:val="24"/>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2628" w:type="dxa"/>
            <w:tcBorders>
              <w:top w:val="single" w:color="auto" w:sz="4" w:space="0"/>
              <w:left w:val="single" w:color="auto" w:sz="4" w:space="0"/>
              <w:right w:val="single" w:color="auto" w:sz="4" w:space="0"/>
            </w:tcBorders>
          </w:tcPr>
          <w:p>
            <w:pPr>
              <w:spacing w:line="360" w:lineRule="auto"/>
              <w:jc w:val="center"/>
              <w:rPr>
                <w:rFonts w:ascii="宋体" w:hAnsi="宋体"/>
                <w:bCs/>
                <w:spacing w:val="10"/>
                <w:sz w:val="24"/>
              </w:rPr>
            </w:pPr>
          </w:p>
        </w:tc>
        <w:tc>
          <w:tcPr>
            <w:tcW w:w="2114"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r>
              <w:rPr>
                <w:rFonts w:ascii="宋体" w:hAnsi="宋体"/>
                <w:bCs/>
                <w:spacing w:val="10"/>
                <w:sz w:val="24"/>
              </w:rPr>
              <w:t>4</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pacing w:val="10"/>
                <w:sz w:val="24"/>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2628" w:type="dxa"/>
            <w:tcBorders>
              <w:top w:val="single" w:color="auto" w:sz="4" w:space="0"/>
              <w:left w:val="single" w:color="auto" w:sz="4" w:space="0"/>
              <w:right w:val="single" w:color="auto" w:sz="4" w:space="0"/>
            </w:tcBorders>
          </w:tcPr>
          <w:p>
            <w:pPr>
              <w:spacing w:line="360" w:lineRule="auto"/>
              <w:jc w:val="center"/>
              <w:rPr>
                <w:rFonts w:ascii="宋体" w:hAnsi="宋体"/>
                <w:bCs/>
                <w:spacing w:val="10"/>
                <w:sz w:val="24"/>
              </w:rPr>
            </w:pPr>
          </w:p>
        </w:tc>
        <w:tc>
          <w:tcPr>
            <w:tcW w:w="2114"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r>
              <w:rPr>
                <w:rFonts w:ascii="宋体" w:hAnsi="宋体"/>
                <w:bCs/>
                <w:spacing w:val="10"/>
                <w:sz w:val="24"/>
              </w:rPr>
              <w:t>5</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pacing w:val="10"/>
                <w:sz w:val="24"/>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2628" w:type="dxa"/>
            <w:tcBorders>
              <w:top w:val="single" w:color="auto" w:sz="4" w:space="0"/>
              <w:left w:val="single" w:color="auto" w:sz="4" w:space="0"/>
              <w:right w:val="single" w:color="auto" w:sz="4" w:space="0"/>
            </w:tcBorders>
          </w:tcPr>
          <w:p>
            <w:pPr>
              <w:spacing w:line="360" w:lineRule="auto"/>
              <w:jc w:val="center"/>
              <w:rPr>
                <w:rFonts w:ascii="宋体" w:hAnsi="宋体"/>
                <w:bCs/>
                <w:spacing w:val="10"/>
                <w:sz w:val="24"/>
              </w:rPr>
            </w:pPr>
          </w:p>
        </w:tc>
        <w:tc>
          <w:tcPr>
            <w:tcW w:w="2114"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r>
              <w:rPr>
                <w:rFonts w:ascii="宋体" w:hAnsi="宋体"/>
                <w:bCs/>
                <w:spacing w:val="10"/>
                <w:sz w:val="24"/>
              </w:rPr>
              <w:t>6</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pacing w:val="10"/>
                <w:sz w:val="24"/>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pacing w:val="10"/>
                <w:sz w:val="24"/>
              </w:rPr>
            </w:pPr>
          </w:p>
        </w:tc>
        <w:tc>
          <w:tcPr>
            <w:tcW w:w="2628" w:type="dxa"/>
            <w:tcBorders>
              <w:top w:val="single" w:color="auto" w:sz="4" w:space="0"/>
              <w:left w:val="single" w:color="auto" w:sz="4" w:space="0"/>
              <w:right w:val="single" w:color="auto" w:sz="4" w:space="0"/>
            </w:tcBorders>
          </w:tcPr>
          <w:p>
            <w:pPr>
              <w:spacing w:line="360" w:lineRule="auto"/>
              <w:jc w:val="center"/>
              <w:rPr>
                <w:rFonts w:ascii="宋体" w:hAnsi="宋体"/>
                <w:bCs/>
                <w:spacing w:val="10"/>
                <w:sz w:val="24"/>
              </w:rPr>
            </w:pPr>
          </w:p>
        </w:tc>
        <w:tc>
          <w:tcPr>
            <w:tcW w:w="2114"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pacing w:val="10"/>
                <w:sz w:val="24"/>
              </w:rPr>
            </w:pPr>
          </w:p>
        </w:tc>
      </w:tr>
    </w:tbl>
    <w:p>
      <w:pPr>
        <w:spacing w:line="360" w:lineRule="auto"/>
        <w:rPr>
          <w:rFonts w:ascii="宋体" w:hAnsi="宋体" w:cs="Arial Unicode MS"/>
          <w:sz w:val="24"/>
        </w:rPr>
      </w:pPr>
      <w:r>
        <w:rPr>
          <w:rFonts w:ascii="宋体" w:hAnsi="宋体" w:cs="Arial Unicode MS"/>
          <w:sz w:val="24"/>
        </w:rPr>
        <w:t>备注：1、本表可扩展及增加；</w:t>
      </w:r>
    </w:p>
    <w:p>
      <w:pPr>
        <w:spacing w:line="360" w:lineRule="auto"/>
        <w:ind w:firstLine="720" w:firstLineChars="300"/>
        <w:rPr>
          <w:rFonts w:ascii="宋体" w:hAnsi="宋体" w:cs="Arial Unicode MS"/>
          <w:sz w:val="24"/>
        </w:rPr>
      </w:pPr>
      <w:r>
        <w:rPr>
          <w:rFonts w:ascii="宋体" w:hAnsi="宋体" w:cs="Arial Unicode MS"/>
          <w:sz w:val="24"/>
        </w:rPr>
        <w:t>2、本表后需附身份证、证书等复印件。</w:t>
      </w:r>
    </w:p>
    <w:p>
      <w:pPr>
        <w:spacing w:line="360" w:lineRule="auto"/>
        <w:ind w:firstLine="1200" w:firstLineChars="500"/>
        <w:rPr>
          <w:rFonts w:ascii="宋体" w:hAnsi="宋体" w:cs="黑体"/>
          <w:sz w:val="24"/>
        </w:rPr>
      </w:pPr>
    </w:p>
    <w:p>
      <w:pPr>
        <w:spacing w:line="360" w:lineRule="auto"/>
        <w:jc w:val="left"/>
        <w:rPr>
          <w:rFonts w:ascii="宋体" w:hAnsi="宋体"/>
          <w:sz w:val="24"/>
        </w:rPr>
      </w:pPr>
      <w:r>
        <w:rPr>
          <w:rFonts w:hint="eastAsia" w:ascii="宋体" w:hAnsi="宋体"/>
          <w:sz w:val="24"/>
        </w:rPr>
        <w:t>供应商名称（盖章）：</w:t>
      </w:r>
    </w:p>
    <w:p>
      <w:pPr>
        <w:spacing w:line="360" w:lineRule="auto"/>
        <w:jc w:val="left"/>
        <w:rPr>
          <w:rFonts w:ascii="宋体" w:hAnsi="宋体"/>
          <w:sz w:val="24"/>
        </w:rPr>
      </w:pPr>
      <w:r>
        <w:rPr>
          <w:rFonts w:hint="eastAsia" w:ascii="宋体" w:hAnsi="宋体"/>
          <w:sz w:val="24"/>
        </w:rPr>
        <w:t>法定代表人或被授权人（签名或盖章）：</w:t>
      </w:r>
    </w:p>
    <w:p>
      <w:pPr>
        <w:spacing w:line="360" w:lineRule="auto"/>
        <w:jc w:val="left"/>
        <w:rPr>
          <w:rFonts w:ascii="宋体" w:hAnsi="宋体"/>
          <w:sz w:val="24"/>
        </w:rPr>
      </w:pPr>
      <w:r>
        <w:rPr>
          <w:rFonts w:hint="eastAsia" w:ascii="宋体" w:hAnsi="宋体"/>
          <w:sz w:val="24"/>
        </w:rPr>
        <w:t>日期：　　　年　　月　　日</w:t>
      </w:r>
    </w:p>
    <w:p>
      <w:pPr>
        <w:spacing w:line="360" w:lineRule="auto"/>
        <w:ind w:firstLine="1200" w:firstLineChars="500"/>
        <w:rPr>
          <w:rFonts w:ascii="宋体" w:hAnsi="宋体" w:cs="黑体"/>
          <w:sz w:val="24"/>
        </w:rPr>
        <w:sectPr>
          <w:pgSz w:w="11906" w:h="16838"/>
          <w:pgMar w:top="1440" w:right="1797" w:bottom="1440" w:left="1797" w:header="851" w:footer="992" w:gutter="0"/>
          <w:cols w:space="720" w:num="1"/>
          <w:docGrid w:type="linesAndChars" w:linePitch="312" w:charSpace="0"/>
        </w:sectPr>
      </w:pPr>
    </w:p>
    <w:p>
      <w:pPr>
        <w:keepNext/>
        <w:keepLines/>
        <w:spacing w:line="360" w:lineRule="auto"/>
        <w:jc w:val="center"/>
        <w:outlineLvl w:val="1"/>
        <w:rPr>
          <w:rFonts w:ascii="宋体" w:hAnsi="宋体" w:cs="黑体"/>
          <w:b/>
          <w:bCs/>
          <w:sz w:val="24"/>
        </w:rPr>
      </w:pPr>
      <w:r>
        <w:rPr>
          <w:rFonts w:hint="eastAsia" w:ascii="宋体" w:hAnsi="宋体" w:cs="黑体"/>
          <w:b/>
          <w:bCs/>
          <w:sz w:val="24"/>
        </w:rPr>
        <w:t>五、具备履行合同所必需的设备和专业技术能力的书面声明</w:t>
      </w:r>
    </w:p>
    <w:p>
      <w:pPr>
        <w:pStyle w:val="5"/>
        <w:spacing w:line="360" w:lineRule="auto"/>
        <w:ind w:firstLine="480"/>
        <w:rPr>
          <w:rFonts w:ascii="宋体" w:hAnsi="宋体"/>
          <w:szCs w:val="21"/>
        </w:rPr>
      </w:pPr>
    </w:p>
    <w:p>
      <w:pPr>
        <w:pStyle w:val="5"/>
        <w:spacing w:line="360" w:lineRule="auto"/>
        <w:ind w:firstLine="480"/>
        <w:rPr>
          <w:rFonts w:ascii="宋体" w:hAnsi="宋体"/>
          <w:szCs w:val="24"/>
        </w:rPr>
      </w:pPr>
      <w:r>
        <w:rPr>
          <w:rFonts w:hint="eastAsia" w:ascii="宋体" w:hAnsi="宋体"/>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ascii="宋体" w:hAnsi="宋体"/>
          <w:szCs w:val="24"/>
        </w:rPr>
      </w:pPr>
      <w:r>
        <w:rPr>
          <w:rFonts w:hint="eastAsia" w:ascii="宋体" w:hAnsi="宋体"/>
          <w:szCs w:val="24"/>
        </w:rPr>
        <w:t>主要设备有：</w:t>
      </w:r>
    </w:p>
    <w:p>
      <w:pPr>
        <w:pStyle w:val="5"/>
        <w:spacing w:line="360" w:lineRule="auto"/>
        <w:ind w:firstLine="480"/>
        <w:rPr>
          <w:rFonts w:ascii="宋体" w:hAnsi="宋体"/>
          <w:szCs w:val="24"/>
        </w:rPr>
      </w:pPr>
      <w:r>
        <w:rPr>
          <w:rFonts w:hint="eastAsia" w:ascii="宋体" w:hAnsi="宋体"/>
          <w:szCs w:val="24"/>
        </w:rPr>
        <w:t>主要专业技术能力有：</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p>
    <w:p>
      <w:pPr>
        <w:spacing w:line="360" w:lineRule="auto"/>
        <w:ind w:firstLine="4394" w:firstLineChars="1831"/>
        <w:jc w:val="left"/>
        <w:rPr>
          <w:rFonts w:ascii="宋体" w:hAnsi="宋体"/>
          <w:sz w:val="24"/>
        </w:rPr>
      </w:pPr>
      <w:r>
        <w:rPr>
          <w:rFonts w:hint="eastAsia" w:ascii="宋体" w:hAnsi="宋体"/>
          <w:sz w:val="24"/>
        </w:rPr>
        <w:t>供应商名称（盖章）：</w:t>
      </w:r>
    </w:p>
    <w:p>
      <w:pPr>
        <w:spacing w:line="360" w:lineRule="auto"/>
        <w:ind w:firstLine="4394" w:firstLineChars="1831"/>
        <w:jc w:val="left"/>
        <w:rPr>
          <w:rFonts w:ascii="宋体" w:hAnsi="宋体"/>
          <w:sz w:val="24"/>
        </w:rPr>
      </w:pPr>
      <w:r>
        <w:rPr>
          <w:rFonts w:hint="eastAsia" w:ascii="宋体" w:hAnsi="宋体"/>
          <w:sz w:val="24"/>
        </w:rPr>
        <w:t>法定代表人或被授权人（签名或盖章）：</w:t>
      </w:r>
    </w:p>
    <w:p>
      <w:pPr>
        <w:spacing w:line="360" w:lineRule="auto"/>
        <w:ind w:firstLine="4394" w:firstLineChars="1831"/>
        <w:jc w:val="left"/>
        <w:rPr>
          <w:rFonts w:ascii="宋体" w:hAnsi="宋体"/>
          <w:sz w:val="24"/>
        </w:rPr>
      </w:pPr>
      <w:r>
        <w:rPr>
          <w:rFonts w:hint="eastAsia" w:ascii="宋体" w:hAnsi="宋体"/>
          <w:sz w:val="24"/>
        </w:rPr>
        <w:t>日期：　　　年　　月　　日</w:t>
      </w:r>
    </w:p>
    <w:p>
      <w:pPr>
        <w:spacing w:line="360" w:lineRule="auto"/>
        <w:rPr>
          <w:rFonts w:ascii="宋体" w:hAnsi="宋体" w:cs="黑体"/>
          <w:sz w:val="28"/>
          <w:szCs w:val="28"/>
        </w:rPr>
      </w:pPr>
    </w:p>
    <w:p>
      <w:pPr>
        <w:keepNext/>
        <w:keepLines/>
        <w:spacing w:line="360" w:lineRule="auto"/>
        <w:jc w:val="center"/>
        <w:outlineLvl w:val="1"/>
        <w:rPr>
          <w:rFonts w:ascii="宋体" w:hAnsi="宋体" w:cs="黑体"/>
          <w:b/>
          <w:bCs/>
          <w:sz w:val="24"/>
        </w:rPr>
      </w:pPr>
      <w:r>
        <w:rPr>
          <w:rFonts w:hint="eastAsia" w:ascii="宋体" w:hAnsi="宋体" w:cs="黑体"/>
          <w:b/>
          <w:bCs/>
          <w:sz w:val="24"/>
        </w:rPr>
        <w:t>六、没有提供虚假材料的声明函</w:t>
      </w:r>
    </w:p>
    <w:p>
      <w:pPr>
        <w:spacing w:line="360" w:lineRule="auto"/>
        <w:jc w:val="center"/>
        <w:rPr>
          <w:rFonts w:ascii="宋体" w:hAnsi="宋体" w:cs="黑体"/>
          <w:sz w:val="24"/>
        </w:rPr>
      </w:pPr>
    </w:p>
    <w:p>
      <w:pPr>
        <w:spacing w:line="360" w:lineRule="auto"/>
        <w:ind w:firstLine="480" w:firstLineChars="200"/>
        <w:rPr>
          <w:rFonts w:ascii="宋体" w:hAnsi="宋体"/>
          <w:sz w:val="24"/>
        </w:rPr>
      </w:pPr>
      <w:r>
        <w:rPr>
          <w:rFonts w:hint="eastAsia" w:ascii="宋体" w:hAnsi="宋体"/>
          <w:sz w:val="24"/>
        </w:rPr>
        <w:t>我公司（单位）愿针对本项目进行投标，响应文件中所有响应文件所含内容，包括资格、资质、证明材料、业绩、陈述等均是真实的、准确的。</w:t>
      </w:r>
    </w:p>
    <w:p>
      <w:pPr>
        <w:spacing w:line="360" w:lineRule="auto"/>
        <w:ind w:firstLine="480" w:firstLineChars="200"/>
        <w:rPr>
          <w:rFonts w:ascii="宋体" w:hAnsi="宋体"/>
          <w:sz w:val="24"/>
        </w:rPr>
      </w:pPr>
      <w:r>
        <w:rPr>
          <w:rFonts w:hint="eastAsia" w:ascii="宋体" w:hAnsi="宋体"/>
          <w:sz w:val="24"/>
        </w:rPr>
        <w:t>若有违背，我公司（单位）愿意承担由此而产生的一切法律后果。</w:t>
      </w:r>
    </w:p>
    <w:p>
      <w:pPr>
        <w:spacing w:line="360" w:lineRule="auto"/>
        <w:ind w:firstLine="480" w:firstLineChars="200"/>
        <w:rPr>
          <w:rFonts w:ascii="宋体" w:hAnsi="宋体"/>
          <w:sz w:val="24"/>
        </w:rPr>
      </w:pPr>
    </w:p>
    <w:p>
      <w:pPr>
        <w:spacing w:line="360" w:lineRule="auto"/>
        <w:ind w:firstLine="4394" w:firstLineChars="1831"/>
        <w:jc w:val="left"/>
        <w:rPr>
          <w:rFonts w:ascii="宋体" w:hAnsi="宋体"/>
          <w:sz w:val="24"/>
        </w:rPr>
      </w:pPr>
      <w:bookmarkStart w:id="75" w:name="_Hlk141812090"/>
      <w:r>
        <w:rPr>
          <w:rFonts w:hint="eastAsia" w:ascii="宋体" w:hAnsi="宋体"/>
          <w:sz w:val="24"/>
        </w:rPr>
        <w:t>供应商名称（盖章）：</w:t>
      </w:r>
    </w:p>
    <w:p>
      <w:pPr>
        <w:spacing w:line="360" w:lineRule="auto"/>
        <w:ind w:firstLine="4394" w:firstLineChars="1831"/>
        <w:jc w:val="left"/>
        <w:rPr>
          <w:rFonts w:ascii="宋体" w:hAnsi="宋体"/>
          <w:sz w:val="24"/>
        </w:rPr>
      </w:pPr>
      <w:r>
        <w:rPr>
          <w:rFonts w:hint="eastAsia" w:ascii="宋体" w:hAnsi="宋体"/>
          <w:sz w:val="24"/>
        </w:rPr>
        <w:t>法定代表人或被授权人（签名或盖章）：</w:t>
      </w:r>
    </w:p>
    <w:p>
      <w:pPr>
        <w:spacing w:line="360" w:lineRule="auto"/>
        <w:ind w:firstLine="4394" w:firstLineChars="1831"/>
        <w:jc w:val="left"/>
        <w:rPr>
          <w:rFonts w:ascii="宋体" w:hAnsi="宋体"/>
          <w:sz w:val="24"/>
        </w:rPr>
      </w:pPr>
      <w:r>
        <w:rPr>
          <w:rFonts w:hint="eastAsia" w:ascii="宋体" w:hAnsi="宋体"/>
          <w:sz w:val="24"/>
        </w:rPr>
        <w:t>日期：　　　年　　月　　日</w:t>
      </w:r>
    </w:p>
    <w:bookmarkEnd w:id="75"/>
    <w:p>
      <w:pPr>
        <w:keepNext/>
        <w:keepLines/>
        <w:spacing w:line="360" w:lineRule="auto"/>
        <w:jc w:val="center"/>
        <w:outlineLvl w:val="1"/>
        <w:rPr>
          <w:rFonts w:ascii="宋体" w:hAnsi="宋体" w:cs="黑体"/>
          <w:b/>
          <w:bCs/>
          <w:sz w:val="24"/>
        </w:rPr>
      </w:pPr>
      <w:r>
        <w:rPr>
          <w:rFonts w:ascii="宋体" w:hAnsi="宋体"/>
          <w:sz w:val="24"/>
        </w:rPr>
        <w:br w:type="page"/>
      </w:r>
      <w:bookmarkStart w:id="76" w:name="_Toc393194388"/>
      <w:r>
        <w:rPr>
          <w:rFonts w:hint="eastAsia" w:ascii="宋体" w:hAnsi="宋体" w:cs="黑体"/>
          <w:b/>
          <w:bCs/>
          <w:sz w:val="24"/>
        </w:rPr>
        <w:t>七、偏离表（商务部分及技术部分）</w:t>
      </w:r>
    </w:p>
    <w:p>
      <w:pPr>
        <w:spacing w:line="360" w:lineRule="auto"/>
        <w:jc w:val="center"/>
        <w:rPr>
          <w:rFonts w:ascii="宋体" w:hAnsi="宋体"/>
          <w:sz w:val="24"/>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415"/>
        <w:gridCol w:w="2308"/>
        <w:gridCol w:w="1713"/>
        <w:gridCol w:w="1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5" w:type="dxa"/>
            <w:vAlign w:val="center"/>
          </w:tcPr>
          <w:p>
            <w:pPr>
              <w:spacing w:line="360" w:lineRule="auto"/>
              <w:jc w:val="center"/>
              <w:rPr>
                <w:rFonts w:ascii="宋体" w:hAnsi="宋体"/>
                <w:sz w:val="24"/>
              </w:rPr>
            </w:pPr>
            <w:r>
              <w:rPr>
                <w:rFonts w:hint="eastAsia" w:ascii="宋体" w:hAnsi="宋体"/>
                <w:sz w:val="24"/>
              </w:rPr>
              <w:t>序号</w:t>
            </w:r>
          </w:p>
        </w:tc>
        <w:tc>
          <w:tcPr>
            <w:tcW w:w="2415" w:type="dxa"/>
            <w:vAlign w:val="center"/>
          </w:tcPr>
          <w:p>
            <w:pPr>
              <w:spacing w:line="360" w:lineRule="auto"/>
              <w:jc w:val="center"/>
              <w:rPr>
                <w:rFonts w:ascii="宋体" w:hAnsi="宋体"/>
                <w:sz w:val="24"/>
              </w:rPr>
            </w:pPr>
            <w:r>
              <w:rPr>
                <w:rFonts w:hint="eastAsia" w:ascii="宋体" w:hAnsi="宋体"/>
                <w:sz w:val="24"/>
              </w:rPr>
              <w:t>磋商文件</w:t>
            </w:r>
          </w:p>
          <w:p>
            <w:pPr>
              <w:spacing w:line="360" w:lineRule="auto"/>
              <w:jc w:val="center"/>
              <w:rPr>
                <w:rFonts w:ascii="宋体" w:hAnsi="宋体"/>
                <w:sz w:val="24"/>
              </w:rPr>
            </w:pPr>
            <w:r>
              <w:rPr>
                <w:rFonts w:hint="eastAsia" w:ascii="宋体" w:hAnsi="宋体"/>
                <w:sz w:val="24"/>
              </w:rPr>
              <w:t>技术要求</w:t>
            </w:r>
          </w:p>
        </w:tc>
        <w:tc>
          <w:tcPr>
            <w:tcW w:w="2308" w:type="dxa"/>
            <w:vAlign w:val="center"/>
          </w:tcPr>
          <w:p>
            <w:pPr>
              <w:spacing w:line="360" w:lineRule="auto"/>
              <w:jc w:val="center"/>
              <w:rPr>
                <w:rFonts w:ascii="宋体" w:hAnsi="宋体"/>
                <w:sz w:val="24"/>
              </w:rPr>
            </w:pPr>
            <w:r>
              <w:rPr>
                <w:rFonts w:hint="eastAsia" w:ascii="宋体" w:hAnsi="宋体"/>
                <w:sz w:val="24"/>
              </w:rPr>
              <w:t>响应文件</w:t>
            </w:r>
          </w:p>
          <w:p>
            <w:pPr>
              <w:spacing w:line="360" w:lineRule="auto"/>
              <w:jc w:val="center"/>
              <w:rPr>
                <w:rFonts w:ascii="宋体" w:hAnsi="宋体"/>
                <w:sz w:val="24"/>
              </w:rPr>
            </w:pPr>
            <w:r>
              <w:rPr>
                <w:rFonts w:hint="eastAsia" w:ascii="宋体" w:hAnsi="宋体"/>
                <w:sz w:val="24"/>
              </w:rPr>
              <w:t>技术规范描述</w:t>
            </w:r>
          </w:p>
        </w:tc>
        <w:tc>
          <w:tcPr>
            <w:tcW w:w="1713" w:type="dxa"/>
            <w:vAlign w:val="center"/>
          </w:tcPr>
          <w:p>
            <w:pPr>
              <w:spacing w:line="360" w:lineRule="auto"/>
              <w:jc w:val="center"/>
              <w:rPr>
                <w:rFonts w:ascii="宋体" w:hAnsi="宋体"/>
                <w:sz w:val="24"/>
              </w:rPr>
            </w:pPr>
            <w:r>
              <w:rPr>
                <w:rFonts w:hint="eastAsia" w:ascii="宋体" w:hAnsi="宋体"/>
                <w:sz w:val="24"/>
              </w:rPr>
              <w:t>有无偏离</w:t>
            </w:r>
          </w:p>
        </w:tc>
        <w:tc>
          <w:tcPr>
            <w:tcW w:w="1911" w:type="dxa"/>
            <w:vAlign w:val="center"/>
          </w:tcPr>
          <w:p>
            <w:pPr>
              <w:spacing w:line="360" w:lineRule="auto"/>
              <w:jc w:val="center"/>
              <w:rPr>
                <w:rFonts w:ascii="宋体" w:hAnsi="宋体"/>
                <w:sz w:val="24"/>
              </w:rPr>
            </w:pPr>
            <w:r>
              <w:rPr>
                <w:rFonts w:hint="eastAsia" w:ascii="宋体" w:hAnsi="宋体"/>
                <w:sz w:val="24"/>
              </w:rPr>
              <w:t>偏离内容及原因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sz w:val="24"/>
              </w:rPr>
            </w:pPr>
            <w:r>
              <w:rPr>
                <w:rFonts w:hint="eastAsia" w:ascii="宋体" w:hAnsi="宋体"/>
                <w:sz w:val="24"/>
              </w:rPr>
              <w:t>1</w:t>
            </w:r>
          </w:p>
        </w:tc>
        <w:tc>
          <w:tcPr>
            <w:tcW w:w="2415" w:type="dxa"/>
            <w:vAlign w:val="center"/>
          </w:tcPr>
          <w:p>
            <w:pPr>
              <w:spacing w:line="360" w:lineRule="auto"/>
              <w:jc w:val="center"/>
              <w:rPr>
                <w:rFonts w:ascii="宋体" w:hAnsi="宋体"/>
                <w:sz w:val="24"/>
              </w:rPr>
            </w:pPr>
          </w:p>
        </w:tc>
        <w:tc>
          <w:tcPr>
            <w:tcW w:w="2308" w:type="dxa"/>
            <w:vAlign w:val="center"/>
          </w:tcPr>
          <w:p>
            <w:pPr>
              <w:spacing w:line="360" w:lineRule="auto"/>
              <w:jc w:val="center"/>
              <w:rPr>
                <w:rFonts w:ascii="宋体" w:hAnsi="宋体"/>
                <w:sz w:val="24"/>
              </w:rPr>
            </w:pPr>
          </w:p>
        </w:tc>
        <w:tc>
          <w:tcPr>
            <w:tcW w:w="1713" w:type="dxa"/>
            <w:vAlign w:val="center"/>
          </w:tcPr>
          <w:p>
            <w:pPr>
              <w:spacing w:line="360" w:lineRule="auto"/>
              <w:jc w:val="center"/>
              <w:rPr>
                <w:rFonts w:ascii="宋体" w:hAnsi="宋体"/>
                <w:sz w:val="24"/>
              </w:rPr>
            </w:pPr>
          </w:p>
        </w:tc>
        <w:tc>
          <w:tcPr>
            <w:tcW w:w="191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sz w:val="24"/>
              </w:rPr>
            </w:pPr>
            <w:r>
              <w:rPr>
                <w:rFonts w:hint="eastAsia" w:ascii="宋体" w:hAnsi="宋体"/>
                <w:sz w:val="24"/>
              </w:rPr>
              <w:t>2</w:t>
            </w:r>
          </w:p>
        </w:tc>
        <w:tc>
          <w:tcPr>
            <w:tcW w:w="2415" w:type="dxa"/>
            <w:vAlign w:val="center"/>
          </w:tcPr>
          <w:p>
            <w:pPr>
              <w:spacing w:line="360" w:lineRule="auto"/>
              <w:jc w:val="center"/>
              <w:rPr>
                <w:rFonts w:ascii="宋体" w:hAnsi="宋体"/>
                <w:sz w:val="24"/>
              </w:rPr>
            </w:pPr>
          </w:p>
        </w:tc>
        <w:tc>
          <w:tcPr>
            <w:tcW w:w="2308" w:type="dxa"/>
            <w:vAlign w:val="center"/>
          </w:tcPr>
          <w:p>
            <w:pPr>
              <w:spacing w:line="360" w:lineRule="auto"/>
              <w:jc w:val="center"/>
              <w:rPr>
                <w:rFonts w:ascii="宋体" w:hAnsi="宋体"/>
                <w:sz w:val="24"/>
              </w:rPr>
            </w:pPr>
          </w:p>
        </w:tc>
        <w:tc>
          <w:tcPr>
            <w:tcW w:w="1713" w:type="dxa"/>
            <w:vAlign w:val="center"/>
          </w:tcPr>
          <w:p>
            <w:pPr>
              <w:spacing w:line="360" w:lineRule="auto"/>
              <w:jc w:val="center"/>
              <w:rPr>
                <w:rFonts w:ascii="宋体" w:hAnsi="宋体"/>
                <w:sz w:val="24"/>
              </w:rPr>
            </w:pPr>
          </w:p>
        </w:tc>
        <w:tc>
          <w:tcPr>
            <w:tcW w:w="191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sz w:val="24"/>
              </w:rPr>
            </w:pPr>
            <w:r>
              <w:rPr>
                <w:rFonts w:hint="eastAsia" w:ascii="宋体" w:hAnsi="宋体"/>
                <w:sz w:val="24"/>
              </w:rPr>
              <w:t>3</w:t>
            </w:r>
          </w:p>
        </w:tc>
        <w:tc>
          <w:tcPr>
            <w:tcW w:w="2415" w:type="dxa"/>
            <w:vAlign w:val="center"/>
          </w:tcPr>
          <w:p>
            <w:pPr>
              <w:spacing w:line="360" w:lineRule="auto"/>
              <w:jc w:val="center"/>
              <w:rPr>
                <w:rFonts w:ascii="宋体" w:hAnsi="宋体"/>
                <w:sz w:val="24"/>
              </w:rPr>
            </w:pPr>
          </w:p>
        </w:tc>
        <w:tc>
          <w:tcPr>
            <w:tcW w:w="2308" w:type="dxa"/>
            <w:vAlign w:val="center"/>
          </w:tcPr>
          <w:p>
            <w:pPr>
              <w:spacing w:line="360" w:lineRule="auto"/>
              <w:jc w:val="center"/>
              <w:rPr>
                <w:rFonts w:ascii="宋体" w:hAnsi="宋体"/>
                <w:sz w:val="24"/>
              </w:rPr>
            </w:pPr>
          </w:p>
        </w:tc>
        <w:tc>
          <w:tcPr>
            <w:tcW w:w="1713" w:type="dxa"/>
            <w:vAlign w:val="center"/>
          </w:tcPr>
          <w:p>
            <w:pPr>
              <w:spacing w:line="360" w:lineRule="auto"/>
              <w:jc w:val="center"/>
              <w:rPr>
                <w:rFonts w:ascii="宋体" w:hAnsi="宋体"/>
                <w:sz w:val="24"/>
              </w:rPr>
            </w:pPr>
          </w:p>
        </w:tc>
        <w:tc>
          <w:tcPr>
            <w:tcW w:w="191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sz w:val="24"/>
              </w:rPr>
            </w:pPr>
            <w:r>
              <w:rPr>
                <w:rFonts w:hint="eastAsia" w:ascii="宋体" w:hAnsi="宋体"/>
                <w:sz w:val="24"/>
              </w:rPr>
              <w:t>……</w:t>
            </w:r>
          </w:p>
        </w:tc>
        <w:tc>
          <w:tcPr>
            <w:tcW w:w="2415" w:type="dxa"/>
            <w:vAlign w:val="center"/>
          </w:tcPr>
          <w:p>
            <w:pPr>
              <w:spacing w:line="360" w:lineRule="auto"/>
              <w:jc w:val="center"/>
              <w:rPr>
                <w:rFonts w:ascii="宋体" w:hAnsi="宋体"/>
                <w:sz w:val="24"/>
              </w:rPr>
            </w:pPr>
          </w:p>
        </w:tc>
        <w:tc>
          <w:tcPr>
            <w:tcW w:w="2308" w:type="dxa"/>
            <w:vAlign w:val="center"/>
          </w:tcPr>
          <w:p>
            <w:pPr>
              <w:spacing w:line="360" w:lineRule="auto"/>
              <w:jc w:val="center"/>
              <w:rPr>
                <w:rFonts w:ascii="宋体" w:hAnsi="宋体"/>
                <w:sz w:val="24"/>
              </w:rPr>
            </w:pPr>
          </w:p>
        </w:tc>
        <w:tc>
          <w:tcPr>
            <w:tcW w:w="1713" w:type="dxa"/>
            <w:vAlign w:val="center"/>
          </w:tcPr>
          <w:p>
            <w:pPr>
              <w:spacing w:line="360" w:lineRule="auto"/>
              <w:jc w:val="center"/>
              <w:rPr>
                <w:rFonts w:ascii="宋体" w:hAnsi="宋体"/>
                <w:sz w:val="24"/>
              </w:rPr>
            </w:pPr>
          </w:p>
        </w:tc>
        <w:tc>
          <w:tcPr>
            <w:tcW w:w="191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sz w:val="24"/>
              </w:rPr>
            </w:pPr>
          </w:p>
        </w:tc>
        <w:tc>
          <w:tcPr>
            <w:tcW w:w="2415" w:type="dxa"/>
            <w:vAlign w:val="center"/>
          </w:tcPr>
          <w:p>
            <w:pPr>
              <w:spacing w:line="360" w:lineRule="auto"/>
              <w:jc w:val="center"/>
              <w:rPr>
                <w:rFonts w:ascii="宋体" w:hAnsi="宋体"/>
                <w:sz w:val="24"/>
              </w:rPr>
            </w:pPr>
          </w:p>
        </w:tc>
        <w:tc>
          <w:tcPr>
            <w:tcW w:w="2308" w:type="dxa"/>
            <w:vAlign w:val="center"/>
          </w:tcPr>
          <w:p>
            <w:pPr>
              <w:spacing w:line="360" w:lineRule="auto"/>
              <w:jc w:val="center"/>
              <w:rPr>
                <w:rFonts w:ascii="宋体" w:hAnsi="宋体"/>
                <w:sz w:val="24"/>
              </w:rPr>
            </w:pPr>
          </w:p>
        </w:tc>
        <w:tc>
          <w:tcPr>
            <w:tcW w:w="1713" w:type="dxa"/>
            <w:vAlign w:val="center"/>
          </w:tcPr>
          <w:p>
            <w:pPr>
              <w:spacing w:line="360" w:lineRule="auto"/>
              <w:jc w:val="center"/>
              <w:rPr>
                <w:rFonts w:ascii="宋体" w:hAnsi="宋体"/>
                <w:sz w:val="24"/>
              </w:rPr>
            </w:pPr>
          </w:p>
        </w:tc>
        <w:tc>
          <w:tcPr>
            <w:tcW w:w="191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sz w:val="24"/>
              </w:rPr>
            </w:pPr>
          </w:p>
        </w:tc>
        <w:tc>
          <w:tcPr>
            <w:tcW w:w="2415" w:type="dxa"/>
            <w:vAlign w:val="center"/>
          </w:tcPr>
          <w:p>
            <w:pPr>
              <w:spacing w:line="360" w:lineRule="auto"/>
              <w:jc w:val="center"/>
              <w:rPr>
                <w:rFonts w:ascii="宋体" w:hAnsi="宋体"/>
                <w:sz w:val="24"/>
              </w:rPr>
            </w:pPr>
          </w:p>
        </w:tc>
        <w:tc>
          <w:tcPr>
            <w:tcW w:w="2308" w:type="dxa"/>
            <w:vAlign w:val="center"/>
          </w:tcPr>
          <w:p>
            <w:pPr>
              <w:spacing w:line="360" w:lineRule="auto"/>
              <w:jc w:val="center"/>
              <w:rPr>
                <w:rFonts w:ascii="宋体" w:hAnsi="宋体"/>
                <w:sz w:val="24"/>
              </w:rPr>
            </w:pPr>
          </w:p>
        </w:tc>
        <w:tc>
          <w:tcPr>
            <w:tcW w:w="1713" w:type="dxa"/>
            <w:vAlign w:val="center"/>
          </w:tcPr>
          <w:p>
            <w:pPr>
              <w:spacing w:line="360" w:lineRule="auto"/>
              <w:jc w:val="center"/>
              <w:rPr>
                <w:rFonts w:ascii="宋体" w:hAnsi="宋体"/>
                <w:sz w:val="24"/>
              </w:rPr>
            </w:pPr>
          </w:p>
        </w:tc>
        <w:tc>
          <w:tcPr>
            <w:tcW w:w="191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sz w:val="24"/>
              </w:rPr>
            </w:pPr>
          </w:p>
        </w:tc>
        <w:tc>
          <w:tcPr>
            <w:tcW w:w="2415" w:type="dxa"/>
            <w:vAlign w:val="center"/>
          </w:tcPr>
          <w:p>
            <w:pPr>
              <w:spacing w:line="360" w:lineRule="auto"/>
              <w:jc w:val="center"/>
              <w:rPr>
                <w:rFonts w:ascii="宋体" w:hAnsi="宋体"/>
                <w:sz w:val="24"/>
              </w:rPr>
            </w:pPr>
          </w:p>
        </w:tc>
        <w:tc>
          <w:tcPr>
            <w:tcW w:w="2308" w:type="dxa"/>
            <w:vAlign w:val="center"/>
          </w:tcPr>
          <w:p>
            <w:pPr>
              <w:spacing w:line="360" w:lineRule="auto"/>
              <w:jc w:val="center"/>
              <w:rPr>
                <w:rFonts w:ascii="宋体" w:hAnsi="宋体"/>
                <w:sz w:val="24"/>
              </w:rPr>
            </w:pPr>
          </w:p>
        </w:tc>
        <w:tc>
          <w:tcPr>
            <w:tcW w:w="1713" w:type="dxa"/>
            <w:vAlign w:val="center"/>
          </w:tcPr>
          <w:p>
            <w:pPr>
              <w:spacing w:line="360" w:lineRule="auto"/>
              <w:jc w:val="center"/>
              <w:rPr>
                <w:rFonts w:ascii="宋体" w:hAnsi="宋体"/>
                <w:sz w:val="24"/>
              </w:rPr>
            </w:pPr>
          </w:p>
        </w:tc>
        <w:tc>
          <w:tcPr>
            <w:tcW w:w="191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sz w:val="24"/>
              </w:rPr>
            </w:pPr>
          </w:p>
        </w:tc>
        <w:tc>
          <w:tcPr>
            <w:tcW w:w="2415" w:type="dxa"/>
            <w:vAlign w:val="center"/>
          </w:tcPr>
          <w:p>
            <w:pPr>
              <w:spacing w:line="360" w:lineRule="auto"/>
              <w:jc w:val="center"/>
              <w:rPr>
                <w:rFonts w:ascii="宋体" w:hAnsi="宋体"/>
                <w:sz w:val="24"/>
              </w:rPr>
            </w:pPr>
          </w:p>
        </w:tc>
        <w:tc>
          <w:tcPr>
            <w:tcW w:w="2308" w:type="dxa"/>
            <w:vAlign w:val="center"/>
          </w:tcPr>
          <w:p>
            <w:pPr>
              <w:spacing w:line="360" w:lineRule="auto"/>
              <w:jc w:val="center"/>
              <w:rPr>
                <w:rFonts w:ascii="宋体" w:hAnsi="宋体"/>
                <w:sz w:val="24"/>
              </w:rPr>
            </w:pPr>
          </w:p>
        </w:tc>
        <w:tc>
          <w:tcPr>
            <w:tcW w:w="1713" w:type="dxa"/>
            <w:vAlign w:val="center"/>
          </w:tcPr>
          <w:p>
            <w:pPr>
              <w:spacing w:line="360" w:lineRule="auto"/>
              <w:jc w:val="center"/>
              <w:rPr>
                <w:rFonts w:ascii="宋体" w:hAnsi="宋体"/>
                <w:sz w:val="24"/>
              </w:rPr>
            </w:pPr>
          </w:p>
        </w:tc>
        <w:tc>
          <w:tcPr>
            <w:tcW w:w="1911" w:type="dxa"/>
            <w:vAlign w:val="center"/>
          </w:tcPr>
          <w:p>
            <w:pPr>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1、投标单位应据实、详细填写上述表格，因未标明或表述含糊导致的评审风险将由投标单位承担。</w:t>
      </w:r>
    </w:p>
    <w:p>
      <w:pPr>
        <w:spacing w:line="360" w:lineRule="auto"/>
        <w:ind w:firstLine="480" w:firstLineChars="200"/>
        <w:rPr>
          <w:rFonts w:ascii="宋体" w:hAnsi="宋体"/>
          <w:sz w:val="24"/>
        </w:rPr>
      </w:pPr>
      <w:r>
        <w:rPr>
          <w:rFonts w:hint="eastAsia" w:ascii="宋体" w:hAnsi="宋体"/>
          <w:sz w:val="24"/>
        </w:rPr>
        <w:t>2、若无偏离，在“有无偏离”栏中填写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pPr>
        <w:spacing w:line="360" w:lineRule="auto"/>
        <w:ind w:firstLine="480" w:firstLineChars="200"/>
        <w:rPr>
          <w:rFonts w:ascii="宋体" w:hAnsi="宋体"/>
          <w:sz w:val="24"/>
        </w:rPr>
      </w:pPr>
      <w:r>
        <w:rPr>
          <w:rFonts w:hint="eastAsia" w:ascii="宋体" w:hAnsi="宋体"/>
          <w:sz w:val="24"/>
        </w:rPr>
        <w:t>3、表格不够可另接。</w:t>
      </w:r>
    </w:p>
    <w:p>
      <w:pPr>
        <w:spacing w:line="360" w:lineRule="auto"/>
        <w:rPr>
          <w:rFonts w:ascii="宋体" w:hAnsi="宋体"/>
          <w:sz w:val="24"/>
        </w:rPr>
      </w:pPr>
    </w:p>
    <w:bookmarkEnd w:id="63"/>
    <w:bookmarkEnd w:id="64"/>
    <w:bookmarkEnd w:id="65"/>
    <w:bookmarkEnd w:id="66"/>
    <w:bookmarkEnd w:id="67"/>
    <w:bookmarkEnd w:id="68"/>
    <w:bookmarkEnd w:id="69"/>
    <w:bookmarkEnd w:id="76"/>
    <w:p>
      <w:pPr>
        <w:spacing w:line="360" w:lineRule="auto"/>
        <w:ind w:firstLine="4394" w:firstLineChars="1831"/>
        <w:jc w:val="left"/>
        <w:rPr>
          <w:rFonts w:ascii="宋体" w:hAnsi="宋体"/>
          <w:sz w:val="24"/>
        </w:rPr>
      </w:pPr>
      <w:bookmarkStart w:id="77" w:name="_Toc311189790"/>
      <w:bookmarkStart w:id="78" w:name="_Toc222799679"/>
      <w:bookmarkStart w:id="79" w:name="_Toc158691787"/>
      <w:r>
        <w:rPr>
          <w:rFonts w:hint="eastAsia" w:ascii="宋体" w:hAnsi="宋体"/>
          <w:sz w:val="24"/>
        </w:rPr>
        <w:t>供应商名称（盖章）：</w:t>
      </w:r>
    </w:p>
    <w:p>
      <w:pPr>
        <w:spacing w:line="360" w:lineRule="auto"/>
        <w:ind w:firstLine="4394" w:firstLineChars="1831"/>
        <w:jc w:val="left"/>
        <w:rPr>
          <w:rFonts w:ascii="宋体" w:hAnsi="宋体"/>
          <w:sz w:val="24"/>
        </w:rPr>
      </w:pPr>
      <w:r>
        <w:rPr>
          <w:rFonts w:hint="eastAsia" w:ascii="宋体" w:hAnsi="宋体"/>
          <w:sz w:val="24"/>
        </w:rPr>
        <w:t>法定代表人或被授权人（签名或盖章）：</w:t>
      </w:r>
    </w:p>
    <w:p>
      <w:pPr>
        <w:spacing w:line="360" w:lineRule="auto"/>
        <w:ind w:firstLine="4394" w:firstLineChars="1831"/>
        <w:jc w:val="left"/>
        <w:rPr>
          <w:rFonts w:ascii="宋体" w:hAnsi="宋体"/>
          <w:sz w:val="24"/>
        </w:rPr>
      </w:pPr>
      <w:r>
        <w:rPr>
          <w:rFonts w:hint="eastAsia" w:ascii="宋体" w:hAnsi="宋体"/>
          <w:sz w:val="24"/>
        </w:rPr>
        <w:t>日期：　　　年　　月　　日</w:t>
      </w:r>
    </w:p>
    <w:p>
      <w:pPr>
        <w:widowControl/>
        <w:spacing w:line="360" w:lineRule="auto"/>
        <w:jc w:val="left"/>
        <w:rPr>
          <w:rFonts w:ascii="宋体" w:hAnsi="宋体"/>
          <w:sz w:val="24"/>
        </w:rPr>
      </w:pPr>
      <w:r>
        <w:rPr>
          <w:rFonts w:ascii="宋体" w:hAnsi="宋体"/>
          <w:sz w:val="24"/>
        </w:rPr>
        <w:br w:type="page"/>
      </w:r>
    </w:p>
    <w:p>
      <w:pPr>
        <w:keepNext/>
        <w:keepLines/>
        <w:spacing w:line="360" w:lineRule="auto"/>
        <w:jc w:val="center"/>
        <w:outlineLvl w:val="1"/>
        <w:rPr>
          <w:rFonts w:ascii="宋体" w:hAnsi="宋体" w:cs="黑体"/>
          <w:b/>
          <w:bCs/>
          <w:sz w:val="24"/>
        </w:rPr>
      </w:pPr>
      <w:r>
        <w:rPr>
          <w:rFonts w:hint="eastAsia" w:ascii="宋体" w:hAnsi="宋体" w:cs="黑体"/>
          <w:b/>
          <w:bCs/>
          <w:sz w:val="24"/>
        </w:rPr>
        <w:t>八、项目实施方案</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磋商文件中提出的需求是最基本的服务要求，各供应商须响应这些要求，并可以在此基础上，根据自身优势进一步优化。本方案可包括（但不限于）以下内容：</w:t>
      </w:r>
    </w:p>
    <w:p>
      <w:pPr>
        <w:tabs>
          <w:tab w:val="left" w:pos="1140"/>
          <w:tab w:val="left" w:pos="1965"/>
        </w:tabs>
        <w:spacing w:line="360" w:lineRule="auto"/>
        <w:ind w:firstLine="482" w:firstLineChars="200"/>
        <w:rPr>
          <w:rFonts w:ascii="宋体" w:hAnsi="宋体" w:cs="宋体"/>
          <w:b/>
          <w:bCs/>
          <w:sz w:val="24"/>
        </w:rPr>
      </w:pPr>
      <w:r>
        <w:rPr>
          <w:rFonts w:hint="eastAsia" w:ascii="宋体" w:hAnsi="宋体" w:cs="宋体"/>
          <w:b/>
          <w:bCs/>
          <w:sz w:val="24"/>
        </w:rPr>
        <w:t>供应商认为需要添加的内容</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394" w:firstLineChars="1831"/>
        <w:jc w:val="left"/>
        <w:rPr>
          <w:rFonts w:ascii="宋体" w:hAnsi="宋体"/>
          <w:sz w:val="24"/>
        </w:rPr>
      </w:pPr>
      <w:r>
        <w:rPr>
          <w:rFonts w:hint="eastAsia" w:ascii="宋体" w:hAnsi="宋体"/>
          <w:sz w:val="24"/>
        </w:rPr>
        <w:t>供应商名称（盖章）：</w:t>
      </w:r>
    </w:p>
    <w:p>
      <w:pPr>
        <w:spacing w:line="360" w:lineRule="auto"/>
        <w:ind w:firstLine="4394" w:firstLineChars="1831"/>
        <w:jc w:val="left"/>
        <w:rPr>
          <w:rFonts w:ascii="宋体" w:hAnsi="宋体"/>
          <w:sz w:val="24"/>
        </w:rPr>
      </w:pPr>
      <w:r>
        <w:rPr>
          <w:rFonts w:hint="eastAsia" w:ascii="宋体" w:hAnsi="宋体"/>
          <w:sz w:val="24"/>
        </w:rPr>
        <w:t>法定代表人或被授权人（签名或盖章）：</w:t>
      </w:r>
    </w:p>
    <w:p>
      <w:pPr>
        <w:spacing w:line="360" w:lineRule="auto"/>
        <w:ind w:firstLine="4394" w:firstLineChars="1831"/>
        <w:jc w:val="left"/>
        <w:rPr>
          <w:rFonts w:ascii="宋体" w:hAnsi="宋体"/>
          <w:sz w:val="24"/>
        </w:rPr>
      </w:pPr>
      <w:r>
        <w:rPr>
          <w:rFonts w:hint="eastAsia" w:ascii="宋体" w:hAnsi="宋体"/>
          <w:sz w:val="24"/>
        </w:rPr>
        <w:t>日期：　　　年　　月　　日</w:t>
      </w:r>
    </w:p>
    <w:p>
      <w:pPr>
        <w:widowControl/>
        <w:spacing w:line="360" w:lineRule="auto"/>
        <w:jc w:val="left"/>
        <w:rPr>
          <w:rFonts w:ascii="宋体" w:hAnsi="宋体"/>
          <w:sz w:val="24"/>
        </w:rPr>
      </w:pPr>
      <w:r>
        <w:rPr>
          <w:rFonts w:ascii="宋体" w:hAnsi="宋体"/>
          <w:sz w:val="24"/>
        </w:rPr>
        <w:br w:type="page"/>
      </w:r>
    </w:p>
    <w:p>
      <w:pPr>
        <w:keepNext/>
        <w:keepLines/>
        <w:spacing w:line="360" w:lineRule="auto"/>
        <w:jc w:val="center"/>
        <w:outlineLvl w:val="1"/>
        <w:rPr>
          <w:rFonts w:ascii="宋体" w:hAnsi="宋体" w:cs="黑体"/>
          <w:b/>
          <w:bCs/>
          <w:sz w:val="24"/>
        </w:rPr>
      </w:pPr>
      <w:r>
        <w:rPr>
          <w:rFonts w:hint="eastAsia" w:ascii="宋体" w:hAnsi="宋体" w:cs="黑体"/>
          <w:b/>
          <w:bCs/>
          <w:sz w:val="24"/>
        </w:rPr>
        <w:t>九、基本服务承诺书</w:t>
      </w:r>
    </w:p>
    <w:p>
      <w:pPr>
        <w:spacing w:line="360" w:lineRule="auto"/>
        <w:rPr>
          <w:rFonts w:ascii="宋体" w:hAnsi="宋体"/>
          <w:b/>
          <w:bCs/>
          <w:sz w:val="24"/>
        </w:rPr>
      </w:pPr>
    </w:p>
    <w:p>
      <w:pPr>
        <w:spacing w:line="360" w:lineRule="auto"/>
        <w:ind w:firstLine="480" w:firstLineChars="200"/>
        <w:rPr>
          <w:rFonts w:ascii="宋体" w:hAnsi="宋体"/>
          <w:bCs/>
          <w:sz w:val="24"/>
        </w:rPr>
      </w:pPr>
      <w:r>
        <w:rPr>
          <w:rFonts w:ascii="宋体" w:hAnsi="宋体"/>
          <w:bCs/>
          <w:sz w:val="24"/>
        </w:rPr>
        <w:t>一、我单位确保按中标结果确定价格及时提供服务。</w:t>
      </w:r>
    </w:p>
    <w:p>
      <w:pPr>
        <w:spacing w:line="360" w:lineRule="auto"/>
        <w:ind w:firstLine="480" w:firstLineChars="200"/>
        <w:jc w:val="left"/>
        <w:rPr>
          <w:rFonts w:ascii="宋体" w:hAnsi="宋体"/>
          <w:bCs/>
          <w:sz w:val="24"/>
          <w:u w:val="single"/>
        </w:rPr>
      </w:pPr>
      <w:r>
        <w:rPr>
          <w:rFonts w:ascii="宋体" w:hAnsi="宋体"/>
          <w:bCs/>
          <w:sz w:val="24"/>
        </w:rPr>
        <w:t>二、承诺的服务：</w:t>
      </w:r>
      <w:r>
        <w:rPr>
          <w:rFonts w:hint="eastAsia" w:ascii="宋体" w:hAnsi="宋体"/>
          <w:bCs/>
          <w:sz w:val="24"/>
        </w:rPr>
        <w:t>（质保期、交货日期、是否响应付款方式等）</w:t>
      </w:r>
    </w:p>
    <w:p>
      <w:pPr>
        <w:spacing w:line="360" w:lineRule="auto"/>
        <w:jc w:val="left"/>
        <w:rPr>
          <w:rFonts w:ascii="宋体" w:hAnsi="宋体"/>
          <w:bCs/>
          <w:sz w:val="24"/>
          <w:u w:val="dash"/>
        </w:rPr>
      </w:pPr>
      <w:r>
        <w:rPr>
          <w:rFonts w:ascii="宋体" w:hAnsi="宋体"/>
          <w:bCs/>
          <w:sz w:val="24"/>
          <w:u w:val="dash"/>
        </w:rPr>
        <w:t>　　　　　　　　　　　　　　　　　　　　　　　　　　　　　　　　　　　　　　</w:t>
      </w:r>
    </w:p>
    <w:p>
      <w:pPr>
        <w:spacing w:line="360" w:lineRule="auto"/>
        <w:jc w:val="left"/>
        <w:rPr>
          <w:rFonts w:ascii="宋体" w:hAnsi="宋体"/>
          <w:bCs/>
          <w:sz w:val="24"/>
          <w:u w:val="dash"/>
        </w:rPr>
      </w:pPr>
      <w:r>
        <w:rPr>
          <w:rFonts w:ascii="宋体" w:hAnsi="宋体"/>
          <w:bCs/>
          <w:sz w:val="24"/>
          <w:u w:val="dash"/>
        </w:rPr>
        <w:t>　　　　　　　　　　　　　　　　　　　　　　　　　　　　　　　　　　　　　　</w:t>
      </w:r>
    </w:p>
    <w:p>
      <w:pPr>
        <w:spacing w:line="360" w:lineRule="auto"/>
        <w:jc w:val="left"/>
        <w:rPr>
          <w:rFonts w:ascii="宋体" w:hAnsi="宋体"/>
          <w:bCs/>
          <w:sz w:val="24"/>
          <w:u w:val="dash"/>
        </w:rPr>
      </w:pPr>
      <w:r>
        <w:rPr>
          <w:rFonts w:ascii="宋体" w:hAnsi="宋体"/>
          <w:bCs/>
          <w:sz w:val="24"/>
          <w:u w:val="dash"/>
        </w:rPr>
        <w:t>　　　　　　　　　　　　　　　　　　　　　　　　　　　　　　　　　　　　　　</w:t>
      </w:r>
    </w:p>
    <w:p>
      <w:pPr>
        <w:spacing w:line="360" w:lineRule="auto"/>
        <w:jc w:val="left"/>
        <w:rPr>
          <w:rFonts w:ascii="宋体" w:hAnsi="宋体"/>
          <w:bCs/>
          <w:sz w:val="24"/>
          <w:u w:val="dash"/>
        </w:rPr>
      </w:pPr>
      <w:r>
        <w:rPr>
          <w:rFonts w:ascii="宋体" w:hAnsi="宋体"/>
          <w:bCs/>
          <w:sz w:val="24"/>
          <w:u w:val="dash"/>
        </w:rPr>
        <w:t>　　　　　　　　　　　　　　　　　　　　　　　　　　　　　　　　　　　　　　</w:t>
      </w:r>
    </w:p>
    <w:p>
      <w:pPr>
        <w:spacing w:line="360" w:lineRule="auto"/>
        <w:ind w:firstLine="480" w:firstLineChars="200"/>
        <w:jc w:val="left"/>
        <w:rPr>
          <w:rFonts w:ascii="宋体" w:hAnsi="宋体"/>
          <w:bCs/>
          <w:sz w:val="24"/>
        </w:rPr>
      </w:pPr>
      <w:r>
        <w:rPr>
          <w:rFonts w:ascii="宋体" w:hAnsi="宋体"/>
          <w:bCs/>
          <w:sz w:val="24"/>
        </w:rPr>
        <w:t>三、要求</w:t>
      </w:r>
      <w:r>
        <w:rPr>
          <w:rFonts w:hint="eastAsia" w:ascii="宋体" w:hAnsi="宋体"/>
          <w:bCs/>
          <w:sz w:val="24"/>
        </w:rPr>
        <w:t>采购</w:t>
      </w:r>
      <w:r>
        <w:rPr>
          <w:rFonts w:ascii="宋体" w:hAnsi="宋体"/>
          <w:bCs/>
          <w:sz w:val="24"/>
        </w:rPr>
        <w:t>人提供的配合：</w:t>
      </w:r>
    </w:p>
    <w:p>
      <w:pPr>
        <w:spacing w:line="360" w:lineRule="auto"/>
        <w:jc w:val="left"/>
        <w:rPr>
          <w:rFonts w:ascii="宋体" w:hAnsi="宋体"/>
          <w:bCs/>
          <w:sz w:val="24"/>
          <w:u w:val="dash"/>
        </w:rPr>
      </w:pPr>
      <w:r>
        <w:rPr>
          <w:rFonts w:ascii="宋体" w:hAnsi="宋体"/>
          <w:bCs/>
          <w:sz w:val="24"/>
          <w:u w:val="dash"/>
        </w:rPr>
        <w:t>　　　　　　　　　　　　　　　　　　　　　　　　　　　　　　　　　　　　　　</w:t>
      </w:r>
    </w:p>
    <w:p>
      <w:pPr>
        <w:spacing w:line="360" w:lineRule="auto"/>
        <w:jc w:val="left"/>
        <w:rPr>
          <w:rFonts w:ascii="宋体" w:hAnsi="宋体"/>
          <w:bCs/>
          <w:sz w:val="24"/>
          <w:u w:val="dash"/>
        </w:rPr>
      </w:pPr>
      <w:r>
        <w:rPr>
          <w:rFonts w:ascii="宋体" w:hAnsi="宋体"/>
          <w:bCs/>
          <w:sz w:val="24"/>
          <w:u w:val="dash"/>
        </w:rPr>
        <w:t>　　　　　　　　　　　　　　　　　　　　　　　　　　　　　　　　　　　　　　</w:t>
      </w:r>
    </w:p>
    <w:p>
      <w:pPr>
        <w:spacing w:line="360" w:lineRule="auto"/>
        <w:jc w:val="left"/>
        <w:rPr>
          <w:rFonts w:ascii="宋体" w:hAnsi="宋体"/>
          <w:bCs/>
          <w:sz w:val="24"/>
          <w:u w:val="dash"/>
        </w:rPr>
      </w:pPr>
      <w:r>
        <w:rPr>
          <w:rFonts w:ascii="宋体" w:hAnsi="宋体"/>
          <w:bCs/>
          <w:sz w:val="24"/>
          <w:u w:val="dash"/>
        </w:rPr>
        <w:t>　　　　　　　　　　　　　　　　　　　　　　　　　　　　　　　　　　　　　　</w:t>
      </w:r>
    </w:p>
    <w:p>
      <w:pPr>
        <w:spacing w:line="360" w:lineRule="auto"/>
        <w:jc w:val="left"/>
        <w:rPr>
          <w:rFonts w:ascii="宋体" w:hAnsi="宋体"/>
          <w:bCs/>
          <w:sz w:val="24"/>
          <w:u w:val="dash"/>
        </w:rPr>
      </w:pPr>
      <w:r>
        <w:rPr>
          <w:rFonts w:ascii="宋体" w:hAnsi="宋体"/>
          <w:bCs/>
          <w:sz w:val="24"/>
          <w:u w:val="dash"/>
        </w:rPr>
        <w:t>　　　　　　　　　　　　　　　　　　　　　　　　　　　　　　　　　　　　　　</w:t>
      </w:r>
    </w:p>
    <w:p>
      <w:pPr>
        <w:spacing w:line="360" w:lineRule="auto"/>
        <w:ind w:firstLine="480" w:firstLineChars="200"/>
        <w:jc w:val="left"/>
        <w:rPr>
          <w:rFonts w:ascii="宋体" w:hAnsi="宋体"/>
          <w:bCs/>
          <w:sz w:val="24"/>
        </w:rPr>
      </w:pPr>
      <w:r>
        <w:rPr>
          <w:rFonts w:ascii="宋体" w:hAnsi="宋体"/>
          <w:bCs/>
          <w:sz w:val="24"/>
        </w:rPr>
        <w:t>四、对磋商文件内容有不同意见的偏离说明：（若无，表示同意全面按照磋商文件的所有要求执行）</w:t>
      </w:r>
    </w:p>
    <w:p>
      <w:pPr>
        <w:spacing w:line="360" w:lineRule="auto"/>
        <w:jc w:val="left"/>
        <w:rPr>
          <w:rFonts w:ascii="宋体" w:hAnsi="宋体"/>
          <w:bCs/>
          <w:sz w:val="24"/>
          <w:u w:val="dash"/>
        </w:rPr>
      </w:pPr>
      <w:r>
        <w:rPr>
          <w:rFonts w:ascii="宋体" w:hAnsi="宋体"/>
          <w:bCs/>
          <w:sz w:val="24"/>
          <w:u w:val="dash"/>
        </w:rPr>
        <w:t>　　　　　　　　　　　　　　　　　　　　　　　　　　　　　　　　　　　　　　</w:t>
      </w:r>
    </w:p>
    <w:p>
      <w:pPr>
        <w:spacing w:line="360" w:lineRule="auto"/>
        <w:jc w:val="left"/>
        <w:rPr>
          <w:rFonts w:ascii="宋体" w:hAnsi="宋体"/>
          <w:bCs/>
          <w:sz w:val="24"/>
          <w:u w:val="dash"/>
        </w:rPr>
      </w:pPr>
      <w:r>
        <w:rPr>
          <w:rFonts w:ascii="宋体" w:hAnsi="宋体"/>
          <w:bCs/>
          <w:sz w:val="24"/>
          <w:u w:val="dash"/>
        </w:rPr>
        <w:t>　　　　　　　　　　　　　　　　　　　　　　　　　　　　　　　　　　　　　　</w:t>
      </w:r>
    </w:p>
    <w:p>
      <w:pPr>
        <w:spacing w:line="360" w:lineRule="auto"/>
        <w:jc w:val="left"/>
        <w:rPr>
          <w:rFonts w:ascii="宋体" w:hAnsi="宋体"/>
          <w:bCs/>
          <w:sz w:val="24"/>
          <w:u w:val="dash"/>
        </w:rPr>
      </w:pPr>
      <w:r>
        <w:rPr>
          <w:rFonts w:ascii="宋体" w:hAnsi="宋体"/>
          <w:bCs/>
          <w:sz w:val="24"/>
          <w:u w:val="dash"/>
        </w:rPr>
        <w:t>　　　　　　　　　　　　　　　　　　　　　　　　　　　　　　　　　　　　　　</w:t>
      </w:r>
    </w:p>
    <w:p>
      <w:pPr>
        <w:spacing w:line="360" w:lineRule="auto"/>
        <w:jc w:val="left"/>
        <w:rPr>
          <w:rFonts w:ascii="宋体" w:hAnsi="宋体"/>
          <w:bCs/>
          <w:sz w:val="24"/>
          <w:u w:val="dash"/>
        </w:rPr>
      </w:pPr>
      <w:r>
        <w:rPr>
          <w:rFonts w:ascii="宋体" w:hAnsi="宋体"/>
          <w:bCs/>
          <w:sz w:val="24"/>
          <w:u w:val="dash"/>
        </w:rPr>
        <w:t>　　　　　　　　　　　　　　　　　　　　　　　　　　　　　　　　　　　　　　</w:t>
      </w:r>
    </w:p>
    <w:p>
      <w:pPr>
        <w:spacing w:line="360" w:lineRule="auto"/>
        <w:ind w:firstLine="600" w:firstLineChars="250"/>
        <w:rPr>
          <w:rFonts w:ascii="宋体" w:hAnsi="宋体"/>
          <w:bCs/>
          <w:sz w:val="24"/>
        </w:rPr>
      </w:pPr>
    </w:p>
    <w:p>
      <w:pPr>
        <w:spacing w:line="360" w:lineRule="auto"/>
        <w:ind w:firstLine="4394" w:firstLineChars="1831"/>
        <w:jc w:val="left"/>
        <w:rPr>
          <w:rFonts w:ascii="宋体" w:hAnsi="宋体"/>
          <w:sz w:val="24"/>
        </w:rPr>
      </w:pPr>
      <w:r>
        <w:rPr>
          <w:rFonts w:hint="eastAsia" w:ascii="宋体" w:hAnsi="宋体"/>
          <w:sz w:val="24"/>
        </w:rPr>
        <w:t>供应商名称（盖章）：</w:t>
      </w:r>
    </w:p>
    <w:p>
      <w:pPr>
        <w:spacing w:line="360" w:lineRule="auto"/>
        <w:ind w:firstLine="4394" w:firstLineChars="1831"/>
        <w:jc w:val="left"/>
        <w:rPr>
          <w:rFonts w:ascii="宋体" w:hAnsi="宋体"/>
          <w:sz w:val="24"/>
        </w:rPr>
      </w:pPr>
      <w:r>
        <w:rPr>
          <w:rFonts w:hint="eastAsia" w:ascii="宋体" w:hAnsi="宋体"/>
          <w:sz w:val="24"/>
        </w:rPr>
        <w:t>法定代表人或被授权人（签名或盖章）：</w:t>
      </w:r>
    </w:p>
    <w:p>
      <w:pPr>
        <w:spacing w:line="360" w:lineRule="auto"/>
        <w:ind w:firstLine="4394" w:firstLineChars="1831"/>
        <w:jc w:val="left"/>
        <w:rPr>
          <w:rFonts w:ascii="宋体" w:hAnsi="宋体"/>
          <w:sz w:val="24"/>
        </w:rPr>
      </w:pPr>
      <w:r>
        <w:rPr>
          <w:rFonts w:hint="eastAsia" w:ascii="宋体" w:hAnsi="宋体"/>
          <w:sz w:val="24"/>
        </w:rPr>
        <w:t>日期：　　　年　　月　　日</w:t>
      </w:r>
    </w:p>
    <w:p>
      <w:pPr>
        <w:widowControl/>
        <w:spacing w:line="360" w:lineRule="auto"/>
        <w:jc w:val="left"/>
        <w:rPr>
          <w:rFonts w:ascii="宋体" w:hAnsi="宋体"/>
          <w:sz w:val="24"/>
        </w:rPr>
      </w:pPr>
      <w:r>
        <w:rPr>
          <w:rFonts w:ascii="宋体" w:hAnsi="宋体"/>
          <w:sz w:val="24"/>
        </w:rPr>
        <w:br w:type="page"/>
      </w:r>
    </w:p>
    <w:bookmarkEnd w:id="77"/>
    <w:bookmarkEnd w:id="78"/>
    <w:bookmarkEnd w:id="79"/>
    <w:p>
      <w:pPr>
        <w:pStyle w:val="3"/>
        <w:spacing w:line="360" w:lineRule="auto"/>
        <w:jc w:val="center"/>
        <w:rPr>
          <w:rFonts w:ascii="宋体" w:hAnsi="宋体" w:eastAsia="宋体"/>
          <w:b/>
          <w:bCs/>
          <w:sz w:val="24"/>
          <w:szCs w:val="24"/>
        </w:rPr>
      </w:pPr>
      <w:r>
        <w:rPr>
          <w:rFonts w:hint="eastAsia" w:ascii="宋体" w:hAnsi="宋体" w:eastAsia="宋体"/>
          <w:b/>
          <w:bCs/>
          <w:sz w:val="24"/>
          <w:szCs w:val="24"/>
        </w:rPr>
        <w:t>十、资格审查材料</w:t>
      </w:r>
    </w:p>
    <w:p>
      <w:pPr>
        <w:spacing w:line="360" w:lineRule="auto"/>
        <w:rPr>
          <w:rFonts w:ascii="宋体" w:hAnsi="宋体"/>
          <w:sz w:val="24"/>
        </w:rPr>
      </w:pPr>
    </w:p>
    <w:p>
      <w:pPr>
        <w:tabs>
          <w:tab w:val="left" w:pos="1050"/>
        </w:tabs>
        <w:spacing w:line="360" w:lineRule="auto"/>
        <w:ind w:firstLine="422" w:firstLineChars="176"/>
        <w:rPr>
          <w:rFonts w:ascii="宋体" w:hAnsi="宋体"/>
          <w:bCs/>
          <w:sz w:val="24"/>
        </w:rPr>
      </w:pPr>
      <w:bookmarkStart w:id="80" w:name="_Hlk67246081"/>
      <w:r>
        <w:rPr>
          <w:rFonts w:ascii="宋体" w:hAnsi="宋体"/>
          <w:bCs/>
          <w:sz w:val="24"/>
        </w:rPr>
        <w:t>*</w:t>
      </w:r>
      <w:r>
        <w:rPr>
          <w:rFonts w:hint="eastAsia" w:ascii="宋体" w:hAnsi="宋体"/>
          <w:bCs/>
          <w:sz w:val="24"/>
        </w:rPr>
        <w:t>1、营业执照副本和税务登记证副本(或“三证合一”的营业执照副本）或事业单位法人证书复印件加盖公章。</w:t>
      </w:r>
    </w:p>
    <w:p>
      <w:pPr>
        <w:tabs>
          <w:tab w:val="left" w:pos="1050"/>
        </w:tabs>
        <w:spacing w:line="360" w:lineRule="auto"/>
        <w:ind w:firstLine="422" w:firstLineChars="176"/>
        <w:rPr>
          <w:rFonts w:ascii="宋体" w:hAnsi="宋体"/>
          <w:bCs/>
          <w:sz w:val="24"/>
        </w:rPr>
      </w:pPr>
      <w:r>
        <w:rPr>
          <w:rFonts w:ascii="宋体" w:hAnsi="宋体"/>
          <w:bCs/>
          <w:sz w:val="24"/>
        </w:rPr>
        <w:t>*</w:t>
      </w:r>
      <w:r>
        <w:rPr>
          <w:rFonts w:hint="eastAsia" w:ascii="宋体" w:hAnsi="宋体"/>
          <w:bCs/>
          <w:sz w:val="24"/>
        </w:rPr>
        <w:t>2、</w:t>
      </w:r>
      <w:r>
        <w:rPr>
          <w:rFonts w:ascii="宋体" w:hAnsi="宋体" w:cs="楷体"/>
          <w:bCs/>
          <w:sz w:val="24"/>
        </w:rPr>
        <w:t>法定代表人资格证明书（法定代表人使用）</w:t>
      </w:r>
      <w:r>
        <w:rPr>
          <w:rFonts w:hint="eastAsia" w:ascii="宋体" w:hAnsi="宋体"/>
          <w:bCs/>
          <w:sz w:val="24"/>
        </w:rPr>
        <w:t>或</w:t>
      </w:r>
      <w:r>
        <w:rPr>
          <w:rFonts w:ascii="宋体" w:hAnsi="宋体" w:cs="楷体"/>
          <w:bCs/>
          <w:sz w:val="24"/>
        </w:rPr>
        <w:t>授权委托书（非法定代表人使用）</w:t>
      </w:r>
      <w:r>
        <w:rPr>
          <w:rFonts w:hint="eastAsia" w:ascii="宋体" w:hAnsi="宋体"/>
          <w:bCs/>
          <w:sz w:val="24"/>
        </w:rPr>
        <w:t>原件（格式详见附件1）</w:t>
      </w:r>
    </w:p>
    <w:p>
      <w:pPr>
        <w:widowControl/>
        <w:spacing w:line="360" w:lineRule="auto"/>
        <w:ind w:firstLine="420" w:firstLineChars="175"/>
        <w:jc w:val="left"/>
        <w:rPr>
          <w:rFonts w:ascii="宋体" w:hAnsi="宋体"/>
          <w:bCs/>
          <w:sz w:val="24"/>
        </w:rPr>
      </w:pPr>
      <w:r>
        <w:rPr>
          <w:rFonts w:asciiTheme="minorEastAsia" w:hAnsiTheme="minorEastAsia" w:eastAsiaTheme="minorEastAsia"/>
          <w:bCs/>
          <w:sz w:val="24"/>
        </w:rPr>
        <w:t>*</w:t>
      </w:r>
      <w:r>
        <w:rPr>
          <w:rFonts w:hint="eastAsia" w:asciiTheme="minorEastAsia" w:hAnsiTheme="minorEastAsia" w:eastAsiaTheme="minorEastAsia"/>
          <w:bCs/>
          <w:sz w:val="24"/>
        </w:rPr>
        <w:t>3、</w:t>
      </w:r>
      <w:r>
        <w:rPr>
          <w:rFonts w:hint="eastAsia" w:ascii="宋体" w:hAnsi="宋体"/>
          <w:bCs/>
          <w:sz w:val="24"/>
        </w:rPr>
        <w:t>资格承诺声明函原件。（格式详见附件2）</w:t>
      </w:r>
    </w:p>
    <w:p>
      <w:pPr>
        <w:widowControl/>
        <w:spacing w:line="360" w:lineRule="auto"/>
        <w:ind w:firstLine="480" w:firstLineChars="200"/>
        <w:jc w:val="left"/>
        <w:rPr>
          <w:rFonts w:ascii="宋体" w:hAnsi="宋体"/>
          <w:bCs/>
          <w:sz w:val="24"/>
        </w:rPr>
      </w:pPr>
      <w:r>
        <w:rPr>
          <w:rFonts w:asciiTheme="minorEastAsia" w:hAnsiTheme="minorEastAsia" w:eastAsiaTheme="minorEastAsia"/>
          <w:bCs/>
          <w:sz w:val="24"/>
        </w:rPr>
        <w:t>*</w:t>
      </w:r>
      <w:r>
        <w:rPr>
          <w:rFonts w:hint="eastAsia" w:asciiTheme="minorEastAsia" w:hAnsiTheme="minorEastAsia" w:eastAsiaTheme="minorEastAsia"/>
          <w:bCs/>
          <w:sz w:val="24"/>
        </w:rPr>
        <w:t>4、</w:t>
      </w:r>
      <w:r>
        <w:rPr>
          <w:rFonts w:hint="eastAsia" w:ascii="宋体" w:hAnsi="宋体"/>
          <w:bCs/>
          <w:sz w:val="24"/>
        </w:rPr>
        <w:t>未被列入信用记录失信被执行人网上打印凭证加盖公章。【在“信用中国”网站信用服务中查询未被列入信用记录失信被执行人网上打印凭证加盖公章】</w:t>
      </w:r>
    </w:p>
    <w:p>
      <w:pPr>
        <w:widowControl/>
        <w:spacing w:line="360" w:lineRule="auto"/>
        <w:ind w:firstLine="482"/>
        <w:jc w:val="left"/>
        <w:rPr>
          <w:rFonts w:ascii="宋体" w:hAnsi="宋体"/>
          <w:bCs/>
          <w:sz w:val="24"/>
        </w:rPr>
      </w:pPr>
      <w:r>
        <w:rPr>
          <w:rFonts w:hint="eastAsia" w:ascii="宋体" w:hAnsi="宋体"/>
          <w:bCs/>
          <w:sz w:val="24"/>
        </w:rPr>
        <w:t>*5、未被列入重大税收违法案件当事人名单网上打印凭证加盖公章。【在“信用中国”网站信用服务中查询未被列入重大税收违法案件当事人名单的网上打印凭证。】</w:t>
      </w:r>
    </w:p>
    <w:p>
      <w:pPr>
        <w:widowControl/>
        <w:spacing w:line="360" w:lineRule="auto"/>
        <w:ind w:firstLine="482"/>
        <w:jc w:val="left"/>
        <w:rPr>
          <w:rFonts w:ascii="宋体" w:hAnsi="宋体"/>
          <w:bCs/>
          <w:sz w:val="24"/>
        </w:rPr>
      </w:pPr>
      <w:r>
        <w:rPr>
          <w:rFonts w:hint="eastAsia" w:ascii="宋体" w:hAnsi="宋体"/>
          <w:bCs/>
          <w:sz w:val="24"/>
        </w:rPr>
        <w:t>*6、未被列入政府采购严重违法失信行为记录名单网上打印凭证加盖公章。【在“信用中国”网站信用服务中查询未被列入政府采购严重违法失信行为记录名单的网上打印凭证。】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7、上一年度的财务状况（资产负债表和利润表）或由会计师事务所出具的审计报告和所附已审财务报告资料复印件加盖公章。【磋商供应商成立不满一年的不需提供】</w:t>
      </w:r>
    </w:p>
    <w:p>
      <w:pPr>
        <w:adjustRightInd w:val="0"/>
        <w:snapToGrid w:val="0"/>
        <w:spacing w:line="360" w:lineRule="auto"/>
        <w:ind w:firstLine="480" w:firstLineChars="200"/>
        <w:rPr>
          <w:rFonts w:ascii="宋体" w:hAnsi="宋体" w:cs="宋体"/>
          <w:iCs/>
          <w:sz w:val="24"/>
        </w:rPr>
      </w:pPr>
      <w:r>
        <w:rPr>
          <w:rFonts w:hint="eastAsia" w:ascii="宋体" w:hAnsi="宋体" w:cs="宋体"/>
          <w:sz w:val="24"/>
        </w:rPr>
        <w:t>8、</w:t>
      </w:r>
      <w:r>
        <w:rPr>
          <w:rFonts w:hint="eastAsia" w:ascii="宋体" w:hAnsi="宋体" w:cs="宋体"/>
          <w:iCs/>
          <w:sz w:val="24"/>
        </w:rPr>
        <w:t>具备履行合同所必需的设备和专业技术能力的书面声明。</w:t>
      </w:r>
    </w:p>
    <w:bookmarkEnd w:id="80"/>
    <w:p>
      <w:pPr>
        <w:spacing w:line="360" w:lineRule="auto"/>
        <w:ind w:firstLine="480" w:firstLineChars="200"/>
        <w:rPr>
          <w:rFonts w:ascii="宋体" w:hAnsi="宋体"/>
          <w:b/>
          <w:sz w:val="24"/>
        </w:rPr>
      </w:pPr>
      <w:r>
        <w:rPr>
          <w:rFonts w:hint="eastAsia" w:ascii="宋体" w:hAnsi="宋体"/>
          <w:sz w:val="24"/>
        </w:rPr>
        <w:t>供应商</w:t>
      </w:r>
      <w:r>
        <w:rPr>
          <w:rFonts w:ascii="宋体" w:hAnsi="宋体"/>
          <w:sz w:val="24"/>
        </w:rPr>
        <w:t>认为需要提供的其他证明文件</w:t>
      </w:r>
    </w:p>
    <w:p>
      <w:pPr>
        <w:snapToGrid w:val="0"/>
        <w:spacing w:line="360" w:lineRule="auto"/>
        <w:rPr>
          <w:rFonts w:ascii="宋体" w:hAnsi="宋体"/>
          <w:b/>
          <w:sz w:val="24"/>
        </w:rPr>
      </w:pPr>
      <w:r>
        <w:rPr>
          <w:rFonts w:hint="eastAsia" w:ascii="宋体" w:hAnsi="宋体"/>
          <w:b/>
          <w:sz w:val="24"/>
        </w:rPr>
        <w:t>注意：</w:t>
      </w:r>
    </w:p>
    <w:p>
      <w:pPr>
        <w:snapToGrid w:val="0"/>
        <w:spacing w:line="360" w:lineRule="auto"/>
        <w:ind w:firstLine="482" w:firstLineChars="200"/>
        <w:rPr>
          <w:rFonts w:ascii="宋体" w:hAnsi="宋体"/>
          <w:b/>
          <w:bCs/>
          <w:sz w:val="24"/>
        </w:rPr>
      </w:pPr>
      <w:r>
        <w:rPr>
          <w:rFonts w:hint="eastAsia" w:ascii="宋体" w:hAnsi="宋体"/>
          <w:b/>
          <w:sz w:val="24"/>
        </w:rPr>
        <w:t>1、以上加“*”材</w:t>
      </w:r>
      <w:r>
        <w:rPr>
          <w:rFonts w:hint="eastAsia" w:ascii="宋体" w:hAnsi="宋体"/>
          <w:b/>
          <w:bCs/>
          <w:sz w:val="24"/>
        </w:rPr>
        <w:t>料若不符合资格要求（或资料不齐全、资料不合格），则资格审查不通过。</w:t>
      </w:r>
    </w:p>
    <w:p>
      <w:pPr>
        <w:widowControl/>
        <w:spacing w:line="360" w:lineRule="auto"/>
        <w:jc w:val="left"/>
        <w:rPr>
          <w:rFonts w:ascii="宋体" w:hAnsi="宋体" w:cs="宋体"/>
          <w:b/>
          <w:bCs/>
          <w:kern w:val="0"/>
          <w:sz w:val="24"/>
        </w:rPr>
      </w:pPr>
      <w:r>
        <w:rPr>
          <w:rFonts w:ascii="宋体" w:hAnsi="宋体"/>
          <w:b/>
          <w:bCs/>
        </w:rPr>
        <w:br w:type="page"/>
      </w:r>
    </w:p>
    <w:p>
      <w:pPr>
        <w:pStyle w:val="56"/>
        <w:spacing w:line="360" w:lineRule="auto"/>
        <w:rPr>
          <w:rFonts w:hAnsi="宋体"/>
          <w:b/>
          <w:bCs/>
          <w:color w:val="auto"/>
        </w:rPr>
      </w:pPr>
      <w:r>
        <w:rPr>
          <w:rFonts w:hint="eastAsia" w:hAnsi="宋体"/>
          <w:b/>
          <w:bCs/>
          <w:color w:val="auto"/>
        </w:rPr>
        <w:t>附件1：</w:t>
      </w:r>
    </w:p>
    <w:p>
      <w:pPr>
        <w:snapToGrid w:val="0"/>
        <w:spacing w:line="360" w:lineRule="auto"/>
        <w:jc w:val="center"/>
        <w:rPr>
          <w:rFonts w:ascii="宋体" w:hAnsi="宋体" w:cs="楷体"/>
          <w:b/>
          <w:sz w:val="24"/>
        </w:rPr>
      </w:pPr>
      <w:r>
        <w:rPr>
          <w:rFonts w:ascii="宋体" w:hAnsi="宋体" w:cs="楷体"/>
          <w:b/>
          <w:bCs/>
          <w:sz w:val="24"/>
        </w:rPr>
        <w:t>1、</w:t>
      </w:r>
      <w:r>
        <w:rPr>
          <w:rFonts w:ascii="宋体" w:hAnsi="宋体" w:cs="楷体"/>
          <w:b/>
          <w:sz w:val="24"/>
        </w:rPr>
        <w:t>法定代表人资格证明书（法定代表人使用）</w:t>
      </w:r>
    </w:p>
    <w:p>
      <w:pPr>
        <w:snapToGrid w:val="0"/>
        <w:spacing w:line="360" w:lineRule="auto"/>
        <w:jc w:val="left"/>
        <w:rPr>
          <w:rFonts w:ascii="宋体" w:hAnsi="宋体" w:cs="楷体"/>
          <w:sz w:val="24"/>
        </w:rPr>
      </w:pPr>
      <w:r>
        <w:rPr>
          <w:rFonts w:hint="eastAsia" w:ascii="宋体" w:hAnsi="宋体" w:cs="楷体"/>
          <w:sz w:val="24"/>
        </w:rPr>
        <w:t>常州市武进区嘉泽镇</w:t>
      </w:r>
      <w:r>
        <w:rPr>
          <w:rFonts w:hint="eastAsia" w:ascii="宋体" w:hAnsi="宋体" w:cs="楷体"/>
          <w:sz w:val="24"/>
          <w:lang w:val="en-US" w:eastAsia="zh-CN"/>
        </w:rPr>
        <w:t>成章卫生院</w:t>
      </w:r>
      <w:r>
        <w:rPr>
          <w:rFonts w:ascii="宋体" w:hAnsi="宋体" w:cs="楷体"/>
          <w:sz w:val="24"/>
        </w:rPr>
        <w:t>：</w:t>
      </w:r>
    </w:p>
    <w:p>
      <w:pPr>
        <w:snapToGrid w:val="0"/>
        <w:spacing w:line="360" w:lineRule="auto"/>
        <w:ind w:firstLine="480" w:firstLineChars="200"/>
        <w:jc w:val="left"/>
        <w:rPr>
          <w:rFonts w:ascii="宋体" w:hAnsi="宋体" w:cs="楷体"/>
          <w:sz w:val="24"/>
        </w:rPr>
      </w:pPr>
      <w:r>
        <w:rPr>
          <w:rFonts w:ascii="宋体" w:hAnsi="宋体" w:cs="楷体"/>
          <w:sz w:val="24"/>
        </w:rPr>
        <w:t>本人</w:t>
      </w:r>
      <w:r>
        <w:rPr>
          <w:rFonts w:ascii="宋体" w:hAnsi="宋体" w:cs="楷体"/>
          <w:sz w:val="24"/>
          <w:u w:val="single"/>
        </w:rPr>
        <w:t xml:space="preserve">          （姓名）</w:t>
      </w:r>
      <w:r>
        <w:rPr>
          <w:rFonts w:ascii="宋体" w:hAnsi="宋体" w:cs="楷体"/>
          <w:sz w:val="24"/>
        </w:rPr>
        <w:t>系</w:t>
      </w:r>
      <w:r>
        <w:rPr>
          <w:rFonts w:ascii="宋体" w:hAnsi="宋体" w:cs="楷体"/>
          <w:sz w:val="24"/>
          <w:u w:val="single"/>
        </w:rPr>
        <w:t xml:space="preserve">              （单位）</w:t>
      </w:r>
      <w:r>
        <w:rPr>
          <w:rFonts w:ascii="宋体" w:hAnsi="宋体" w:cs="楷体"/>
          <w:sz w:val="24"/>
        </w:rPr>
        <w:t>的法定代表人。在</w:t>
      </w:r>
      <w:r>
        <w:rPr>
          <w:rFonts w:hint="eastAsia" w:ascii="宋体" w:hAnsi="宋体" w:cs="宋体"/>
          <w:b/>
          <w:sz w:val="24"/>
          <w:u w:val="single"/>
        </w:rPr>
        <w:t>成章卫生院高清电子肠镜配套设备采购</w:t>
      </w:r>
      <w:r>
        <w:rPr>
          <w:rFonts w:hint="eastAsia" w:ascii="宋体" w:hAnsi="宋体" w:cs="楷体"/>
          <w:sz w:val="24"/>
        </w:rPr>
        <w:t>项目</w:t>
      </w:r>
      <w:r>
        <w:rPr>
          <w:rFonts w:ascii="宋体" w:hAnsi="宋体" w:cs="楷体"/>
          <w:sz w:val="24"/>
        </w:rPr>
        <w:t>的投标活动中，以我单位的名义参加投标报名、资格审查、签署投标书和投标文件、与招标人（或采购人）协商、签订合同书以及执行一切与此有关的事项。特此证明。</w:t>
      </w:r>
    </w:p>
    <w:p>
      <w:pPr>
        <w:snapToGrid w:val="0"/>
        <w:spacing w:line="360" w:lineRule="auto"/>
        <w:ind w:firstLine="480" w:firstLineChars="200"/>
        <w:jc w:val="left"/>
        <w:rPr>
          <w:rFonts w:ascii="宋体" w:hAnsi="宋体" w:cs="楷体"/>
          <w:sz w:val="24"/>
        </w:rPr>
      </w:pPr>
    </w:p>
    <w:tbl>
      <w:tblPr>
        <w:tblStyle w:val="22"/>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rPr>
                <w:rFonts w:ascii="宋体" w:hAnsi="宋体" w:cs="楷体"/>
                <w:sz w:val="24"/>
              </w:rPr>
            </w:pPr>
            <w:r>
              <w:rPr>
                <w:rFonts w:ascii="宋体" w:hAnsi="宋体" w:cs="楷体"/>
                <w:sz w:val="24"/>
              </w:rPr>
              <w:t>单位盖章：</w:t>
            </w:r>
          </w:p>
        </w:tc>
      </w:tr>
      <w:tr>
        <w:tblPrEx>
          <w:tblCellMar>
            <w:top w:w="0" w:type="dxa"/>
            <w:left w:w="108" w:type="dxa"/>
            <w:bottom w:w="0" w:type="dxa"/>
            <w:right w:w="108" w:type="dxa"/>
          </w:tblCellMar>
        </w:tblPrEx>
        <w:tc>
          <w:tcPr>
            <w:tcW w:w="4729" w:type="dxa"/>
          </w:tcPr>
          <w:p>
            <w:pPr>
              <w:snapToGrid w:val="0"/>
              <w:spacing w:line="360" w:lineRule="auto"/>
              <w:rPr>
                <w:rFonts w:ascii="宋体" w:hAnsi="宋体" w:cs="楷体"/>
                <w:sz w:val="24"/>
              </w:rPr>
            </w:pPr>
            <w:r>
              <w:rPr>
                <w:rFonts w:ascii="宋体" w:hAnsi="宋体" w:cs="楷体"/>
                <w:sz w:val="24"/>
              </w:rPr>
              <w:t>法定代表人签名或盖章：</w:t>
            </w:r>
          </w:p>
        </w:tc>
      </w:tr>
      <w:tr>
        <w:tblPrEx>
          <w:tblCellMar>
            <w:top w:w="0" w:type="dxa"/>
            <w:left w:w="108" w:type="dxa"/>
            <w:bottom w:w="0" w:type="dxa"/>
            <w:right w:w="108" w:type="dxa"/>
          </w:tblCellMar>
        </w:tblPrEx>
        <w:tc>
          <w:tcPr>
            <w:tcW w:w="4729" w:type="dxa"/>
          </w:tcPr>
          <w:p>
            <w:pPr>
              <w:snapToGrid w:val="0"/>
              <w:spacing w:line="360" w:lineRule="auto"/>
              <w:rPr>
                <w:rFonts w:ascii="宋体" w:hAnsi="宋体" w:cs="楷体"/>
                <w:sz w:val="24"/>
              </w:rPr>
            </w:pPr>
            <w:r>
              <w:rPr>
                <w:rFonts w:ascii="宋体" w:hAnsi="宋体" w:cs="楷体"/>
                <w:sz w:val="24"/>
              </w:rPr>
              <w:t>日期：   年    月    日</w:t>
            </w:r>
          </w:p>
        </w:tc>
      </w:tr>
    </w:tbl>
    <w:p>
      <w:pPr>
        <w:snapToGrid w:val="0"/>
        <w:spacing w:line="360" w:lineRule="auto"/>
        <w:ind w:firstLine="480" w:firstLineChars="200"/>
        <w:rPr>
          <w:rFonts w:ascii="宋体" w:hAnsi="宋体" w:cs="楷体"/>
          <w:sz w:val="24"/>
          <w:u w:val="single"/>
        </w:rPr>
      </w:pPr>
      <w:r>
        <w:rPr>
          <w:rFonts w:ascii="宋体" w:hAnsi="宋体" w:cs="楷体"/>
          <w:sz w:val="24"/>
        </w:rPr>
        <w:t>注意事项：</w:t>
      </w:r>
      <w:r>
        <w:rPr>
          <w:rFonts w:ascii="宋体" w:hAnsi="宋体" w:cs="楷体"/>
          <w:sz w:val="24"/>
          <w:u w:val="single"/>
        </w:rPr>
        <w:t>需附法定代表人第二代居民身份证复印件（正反面）。</w:t>
      </w:r>
    </w:p>
    <w:p>
      <w:pPr>
        <w:snapToGrid w:val="0"/>
        <w:spacing w:line="360" w:lineRule="auto"/>
        <w:ind w:firstLine="482" w:firstLineChars="200"/>
        <w:jc w:val="center"/>
        <w:rPr>
          <w:rFonts w:ascii="宋体" w:hAnsi="宋体" w:cs="楷体"/>
          <w:b/>
          <w:sz w:val="24"/>
        </w:rPr>
      </w:pPr>
      <w:r>
        <w:rPr>
          <w:rFonts w:ascii="宋体" w:hAnsi="宋体" w:cs="楷体"/>
          <w:b/>
          <w:sz w:val="24"/>
        </w:rPr>
        <w:t>2、授权委托书（非法定代表人使用）</w:t>
      </w:r>
    </w:p>
    <w:p>
      <w:pPr>
        <w:snapToGrid w:val="0"/>
        <w:spacing w:line="360" w:lineRule="auto"/>
        <w:rPr>
          <w:rFonts w:ascii="宋体" w:hAnsi="宋体" w:cs="楷体"/>
          <w:sz w:val="24"/>
        </w:rPr>
      </w:pPr>
      <w:r>
        <w:rPr>
          <w:rFonts w:hint="eastAsia" w:ascii="宋体" w:hAnsi="宋体" w:cs="楷体"/>
          <w:sz w:val="24"/>
        </w:rPr>
        <w:t>常州市武进区嘉泽镇</w:t>
      </w:r>
      <w:r>
        <w:rPr>
          <w:rFonts w:hint="eastAsia" w:ascii="宋体" w:hAnsi="宋体" w:cs="楷体"/>
          <w:sz w:val="24"/>
          <w:lang w:val="en-US" w:eastAsia="zh-CN"/>
        </w:rPr>
        <w:t>成章卫生院</w:t>
      </w:r>
      <w:r>
        <w:rPr>
          <w:rFonts w:ascii="宋体" w:hAnsi="宋体" w:cs="楷体"/>
          <w:sz w:val="24"/>
        </w:rPr>
        <w:t>：</w:t>
      </w:r>
    </w:p>
    <w:p>
      <w:pPr>
        <w:tabs>
          <w:tab w:val="left" w:pos="5609"/>
        </w:tabs>
        <w:spacing w:line="360" w:lineRule="auto"/>
        <w:ind w:firstLine="720" w:firstLineChars="300"/>
        <w:jc w:val="left"/>
        <w:rPr>
          <w:rFonts w:ascii="宋体" w:hAnsi="宋体" w:cs="楷体"/>
          <w:sz w:val="24"/>
        </w:rPr>
      </w:pPr>
      <w:r>
        <w:rPr>
          <w:rFonts w:ascii="宋体" w:hAnsi="宋体" w:cs="楷体"/>
          <w:sz w:val="24"/>
        </w:rPr>
        <w:t>本授权委托书宣告：本人</w:t>
      </w:r>
      <w:r>
        <w:rPr>
          <w:rFonts w:ascii="宋体" w:hAnsi="宋体" w:cs="楷体"/>
          <w:sz w:val="24"/>
          <w:u w:val="single"/>
        </w:rPr>
        <w:t xml:space="preserve">          （姓名）</w:t>
      </w:r>
      <w:r>
        <w:rPr>
          <w:rFonts w:ascii="宋体" w:hAnsi="宋体" w:cs="楷体"/>
          <w:sz w:val="24"/>
        </w:rPr>
        <w:t>系</w:t>
      </w:r>
      <w:r>
        <w:rPr>
          <w:rFonts w:ascii="宋体" w:hAnsi="宋体" w:cs="楷体"/>
          <w:sz w:val="24"/>
          <w:u w:val="single"/>
        </w:rPr>
        <w:t xml:space="preserve">                  （单位）</w:t>
      </w:r>
      <w:r>
        <w:rPr>
          <w:rFonts w:ascii="宋体" w:hAnsi="宋体" w:cs="楷体"/>
          <w:sz w:val="24"/>
        </w:rPr>
        <w:t>的法定代表人，现授权委托</w:t>
      </w:r>
      <w:r>
        <w:rPr>
          <w:rFonts w:ascii="宋体" w:hAnsi="宋体" w:cs="楷体"/>
          <w:sz w:val="24"/>
          <w:u w:val="single"/>
        </w:rPr>
        <w:t xml:space="preserve">       （姓名）</w:t>
      </w:r>
      <w:r>
        <w:rPr>
          <w:rFonts w:ascii="宋体" w:hAnsi="宋体" w:cs="楷体"/>
          <w:sz w:val="24"/>
        </w:rPr>
        <w:t>为我单位代理人，该代理人有权在</w:t>
      </w:r>
      <w:r>
        <w:rPr>
          <w:rFonts w:hint="eastAsia" w:ascii="宋体" w:hAnsi="宋体" w:cs="宋体"/>
          <w:b/>
          <w:sz w:val="24"/>
          <w:u w:val="single"/>
        </w:rPr>
        <w:t>成章卫生院高清电子肠镜配套设备采购</w:t>
      </w:r>
      <w:r>
        <w:rPr>
          <w:rFonts w:hint="eastAsia" w:ascii="宋体" w:hAnsi="宋体" w:cs="楷体"/>
          <w:sz w:val="24"/>
        </w:rPr>
        <w:t>项目</w:t>
      </w:r>
      <w:r>
        <w:rPr>
          <w:rFonts w:ascii="宋体" w:hAnsi="宋体" w:cs="楷体"/>
          <w:sz w:val="24"/>
        </w:rPr>
        <w:t>的投标活动中，以我单位的名义参加投标报名、资格审查、签署投标书和投标文件、与招标人（或采购人）协商、签订合同书以及执行一切与此有关的事项。</w:t>
      </w:r>
    </w:p>
    <w:p>
      <w:pPr>
        <w:snapToGrid w:val="0"/>
        <w:spacing w:line="360" w:lineRule="auto"/>
        <w:ind w:firstLine="480" w:firstLineChars="200"/>
        <w:rPr>
          <w:rFonts w:ascii="宋体" w:hAnsi="宋体" w:cs="楷体"/>
          <w:sz w:val="24"/>
        </w:rPr>
      </w:pPr>
      <w:r>
        <w:rPr>
          <w:rFonts w:ascii="宋体" w:hAnsi="宋体" w:cs="楷体"/>
          <w:sz w:val="24"/>
        </w:rPr>
        <w:t>代理人在其权限范围及代理期限内签署的一切有关合同、协议和文件，我单位均予以认可并愿承担相应的法律责任。</w:t>
      </w:r>
    </w:p>
    <w:p>
      <w:pPr>
        <w:snapToGrid w:val="0"/>
        <w:spacing w:line="360" w:lineRule="auto"/>
        <w:ind w:firstLine="480" w:firstLineChars="200"/>
        <w:rPr>
          <w:rFonts w:ascii="宋体" w:hAnsi="宋体" w:cs="楷体"/>
          <w:sz w:val="24"/>
        </w:rPr>
      </w:pPr>
      <w:r>
        <w:rPr>
          <w:rFonts w:ascii="宋体" w:hAnsi="宋体" w:cs="楷体"/>
          <w:sz w:val="24"/>
        </w:rPr>
        <w:t>委托期限：至本项目结束或新的授权委托书送到之日。代理人无转委托权。</w:t>
      </w:r>
    </w:p>
    <w:p>
      <w:pPr>
        <w:snapToGrid w:val="0"/>
        <w:spacing w:line="360" w:lineRule="auto"/>
        <w:ind w:firstLine="480" w:firstLineChars="200"/>
        <w:rPr>
          <w:rFonts w:ascii="宋体" w:hAnsi="宋体" w:cs="楷体"/>
          <w:sz w:val="24"/>
        </w:rPr>
      </w:pPr>
    </w:p>
    <w:p>
      <w:pPr>
        <w:snapToGrid w:val="0"/>
        <w:spacing w:line="360" w:lineRule="auto"/>
        <w:ind w:firstLine="480" w:firstLineChars="200"/>
        <w:rPr>
          <w:rFonts w:ascii="宋体" w:hAnsi="宋体" w:cs="楷体"/>
          <w:sz w:val="24"/>
        </w:rPr>
      </w:pPr>
    </w:p>
    <w:tbl>
      <w:tblPr>
        <w:tblStyle w:val="22"/>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rPr>
                <w:rFonts w:ascii="宋体" w:hAnsi="宋体" w:cs="楷体"/>
                <w:sz w:val="24"/>
              </w:rPr>
            </w:pPr>
            <w:r>
              <w:rPr>
                <w:rFonts w:ascii="宋体" w:hAnsi="宋体" w:cs="楷体"/>
                <w:sz w:val="24"/>
              </w:rPr>
              <w:t>被授权人签名或盖章：</w:t>
            </w:r>
          </w:p>
        </w:tc>
      </w:tr>
      <w:tr>
        <w:tblPrEx>
          <w:tblCellMar>
            <w:top w:w="0" w:type="dxa"/>
            <w:left w:w="108" w:type="dxa"/>
            <w:bottom w:w="0" w:type="dxa"/>
            <w:right w:w="108" w:type="dxa"/>
          </w:tblCellMar>
        </w:tblPrEx>
        <w:tc>
          <w:tcPr>
            <w:tcW w:w="4729" w:type="dxa"/>
          </w:tcPr>
          <w:p>
            <w:pPr>
              <w:snapToGrid w:val="0"/>
              <w:spacing w:line="360" w:lineRule="auto"/>
              <w:rPr>
                <w:rFonts w:ascii="宋体" w:hAnsi="宋体" w:cs="楷体"/>
                <w:sz w:val="24"/>
              </w:rPr>
            </w:pPr>
            <w:r>
              <w:rPr>
                <w:rFonts w:ascii="宋体" w:hAnsi="宋体" w:cs="楷体"/>
                <w:sz w:val="24"/>
              </w:rPr>
              <w:t>单位盖章：</w:t>
            </w:r>
          </w:p>
        </w:tc>
      </w:tr>
      <w:tr>
        <w:tblPrEx>
          <w:tblCellMar>
            <w:top w:w="0" w:type="dxa"/>
            <w:left w:w="108" w:type="dxa"/>
            <w:bottom w:w="0" w:type="dxa"/>
            <w:right w:w="108" w:type="dxa"/>
          </w:tblCellMar>
        </w:tblPrEx>
        <w:tc>
          <w:tcPr>
            <w:tcW w:w="4729" w:type="dxa"/>
          </w:tcPr>
          <w:p>
            <w:pPr>
              <w:snapToGrid w:val="0"/>
              <w:spacing w:line="360" w:lineRule="auto"/>
              <w:rPr>
                <w:rFonts w:ascii="宋体" w:hAnsi="宋体" w:cs="楷体"/>
                <w:sz w:val="24"/>
              </w:rPr>
            </w:pPr>
            <w:r>
              <w:rPr>
                <w:rFonts w:ascii="宋体" w:hAnsi="宋体" w:cs="楷体"/>
                <w:sz w:val="24"/>
              </w:rPr>
              <w:t>法定代表人签名或盖章：</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rPr>
                <w:rFonts w:ascii="宋体" w:hAnsi="宋体" w:cs="楷体"/>
                <w:sz w:val="24"/>
              </w:rPr>
            </w:pPr>
            <w:r>
              <w:rPr>
                <w:rFonts w:ascii="宋体" w:hAnsi="宋体" w:cs="楷体"/>
                <w:sz w:val="24"/>
              </w:rPr>
              <w:t>日期：   年    月    日</w:t>
            </w:r>
          </w:p>
        </w:tc>
      </w:tr>
    </w:tbl>
    <w:p>
      <w:pPr>
        <w:snapToGrid w:val="0"/>
        <w:spacing w:line="360" w:lineRule="auto"/>
        <w:ind w:firstLine="480" w:firstLineChars="200"/>
        <w:rPr>
          <w:rFonts w:ascii="宋体" w:hAnsi="宋体" w:cs="楷体"/>
          <w:sz w:val="24"/>
          <w:u w:val="single"/>
        </w:rPr>
      </w:pPr>
      <w:r>
        <w:rPr>
          <w:rFonts w:ascii="宋体" w:hAnsi="宋体" w:cs="楷体"/>
          <w:sz w:val="24"/>
        </w:rPr>
        <w:t>注意事项：</w:t>
      </w:r>
      <w:r>
        <w:rPr>
          <w:rFonts w:ascii="宋体" w:hAnsi="宋体" w:cs="楷体"/>
          <w:sz w:val="24"/>
          <w:u w:val="single"/>
        </w:rPr>
        <w:t>需附法定代表人第二代居民身份证复印件（正反面）和被授权人第二代居民身份证复印件（正反面）。</w:t>
      </w:r>
      <w:r>
        <w:rPr>
          <w:rFonts w:ascii="宋体" w:hAnsi="宋体" w:cs="楷体"/>
          <w:sz w:val="24"/>
          <w:u w:val="single"/>
        </w:rPr>
        <w:br w:type="page"/>
      </w:r>
    </w:p>
    <w:p>
      <w:pPr>
        <w:adjustRightInd w:val="0"/>
        <w:spacing w:line="570" w:lineRule="exact"/>
        <w:contextualSpacing/>
        <w:jc w:val="left"/>
        <w:textAlignment w:val="baseline"/>
        <w:rPr>
          <w:rFonts w:asciiTheme="minorEastAsia" w:hAnsiTheme="minorEastAsia" w:eastAsiaTheme="minorEastAsia"/>
          <w:b/>
          <w:sz w:val="24"/>
        </w:rPr>
      </w:pPr>
      <w:r>
        <w:rPr>
          <w:rFonts w:asciiTheme="minorEastAsia" w:hAnsiTheme="minorEastAsia" w:eastAsiaTheme="minorEastAsia"/>
          <w:b/>
          <w:sz w:val="24"/>
        </w:rPr>
        <w:t>附件</w:t>
      </w:r>
      <w:r>
        <w:rPr>
          <w:rFonts w:hint="eastAsia" w:asciiTheme="minorEastAsia" w:hAnsiTheme="minorEastAsia" w:eastAsiaTheme="minorEastAsia"/>
          <w:b/>
          <w:sz w:val="24"/>
        </w:rPr>
        <w:t>2</w:t>
      </w:r>
    </w:p>
    <w:p>
      <w:pPr>
        <w:snapToGrid w:val="0"/>
        <w:spacing w:line="360" w:lineRule="auto"/>
        <w:jc w:val="center"/>
        <w:rPr>
          <w:rFonts w:ascii="宋体" w:hAnsi="宋体" w:cs="楷体"/>
          <w:b/>
          <w:bCs/>
          <w:sz w:val="24"/>
        </w:rPr>
      </w:pPr>
      <w:r>
        <w:rPr>
          <w:rFonts w:ascii="宋体" w:hAnsi="宋体" w:cs="楷体"/>
          <w:b/>
          <w:bCs/>
          <w:sz w:val="24"/>
        </w:rPr>
        <w:t>资格承诺声明函</w:t>
      </w:r>
    </w:p>
    <w:p>
      <w:pPr>
        <w:adjustRightInd w:val="0"/>
        <w:snapToGrid w:val="0"/>
        <w:spacing w:line="360" w:lineRule="auto"/>
        <w:contextualSpacing/>
        <w:textAlignment w:val="baseline"/>
        <w:rPr>
          <w:rFonts w:ascii="宋体" w:hAnsi="宋体"/>
          <w:sz w:val="24"/>
        </w:rPr>
      </w:pPr>
      <w:r>
        <w:rPr>
          <w:rFonts w:ascii="宋体" w:hAnsi="宋体"/>
          <w:sz w:val="24"/>
        </w:rPr>
        <w:t>致</w:t>
      </w:r>
      <w:r>
        <w:rPr>
          <w:rFonts w:hint="eastAsia" w:ascii="宋体" w:hAnsi="宋体"/>
          <w:sz w:val="24"/>
        </w:rPr>
        <w:t>常州市武进区嘉泽镇</w:t>
      </w:r>
      <w:r>
        <w:rPr>
          <w:rFonts w:hint="eastAsia" w:ascii="宋体" w:hAnsi="宋体" w:cs="楷体"/>
          <w:sz w:val="24"/>
          <w:lang w:val="en-US" w:eastAsia="zh-CN"/>
        </w:rPr>
        <w:t>成章卫生院</w:t>
      </w:r>
      <w:r>
        <w:rPr>
          <w:rFonts w:hint="eastAsia" w:ascii="宋体" w:hAnsi="宋体"/>
          <w:sz w:val="24"/>
        </w:rPr>
        <w:t>、常州新禾招投标有限公司</w:t>
      </w:r>
      <w:r>
        <w:rPr>
          <w:rFonts w:ascii="宋体" w:hAnsi="宋体"/>
          <w:sz w:val="24"/>
        </w:rPr>
        <w:t>：</w:t>
      </w:r>
    </w:p>
    <w:p>
      <w:pPr>
        <w:adjustRightInd w:val="0"/>
        <w:snapToGrid w:val="0"/>
        <w:spacing w:line="360" w:lineRule="auto"/>
        <w:ind w:firstLine="480" w:firstLineChars="200"/>
        <w:contextualSpacing/>
        <w:textAlignment w:val="baseline"/>
        <w:rPr>
          <w:rFonts w:ascii="宋体" w:hAnsi="宋体"/>
          <w:sz w:val="24"/>
        </w:rPr>
      </w:pPr>
      <w:r>
        <w:rPr>
          <w:rFonts w:ascii="宋体" w:hAnsi="宋体"/>
          <w:sz w:val="24"/>
        </w:rPr>
        <w:t>我单位郑重声明如下：</w:t>
      </w:r>
    </w:p>
    <w:p>
      <w:pPr>
        <w:adjustRightInd w:val="0"/>
        <w:snapToGrid w:val="0"/>
        <w:spacing w:line="360" w:lineRule="auto"/>
        <w:ind w:firstLine="480" w:firstLineChars="200"/>
        <w:contextualSpacing/>
        <w:textAlignment w:val="baseline"/>
        <w:rPr>
          <w:rFonts w:ascii="宋体" w:hAnsi="宋体"/>
          <w:sz w:val="24"/>
        </w:rPr>
      </w:pPr>
      <w:r>
        <w:rPr>
          <w:rFonts w:ascii="宋体" w:hAnsi="宋体"/>
          <w:sz w:val="24"/>
        </w:rPr>
        <w:t>一、我单位全称为，注册地点为，统一社会信用代码为，法定代表人（单位负责人）为</w:t>
      </w:r>
      <w:r>
        <w:rPr>
          <w:rFonts w:hint="eastAsia" w:ascii="宋体" w:hAnsi="宋体"/>
          <w:sz w:val="24"/>
        </w:rPr>
        <w:t>。</w:t>
      </w:r>
    </w:p>
    <w:p>
      <w:pPr>
        <w:adjustRightInd w:val="0"/>
        <w:snapToGrid w:val="0"/>
        <w:spacing w:line="360" w:lineRule="auto"/>
        <w:ind w:firstLine="566" w:firstLineChars="236"/>
        <w:contextualSpacing/>
        <w:textAlignment w:val="baseline"/>
        <w:rPr>
          <w:rFonts w:ascii="宋体" w:hAnsi="宋体"/>
          <w:sz w:val="24"/>
          <w:szCs w:val="20"/>
        </w:rPr>
      </w:pPr>
      <w:bookmarkStart w:id="81" w:name="_Hlk108389202"/>
      <w:r>
        <w:rPr>
          <w:rFonts w:hint="eastAsia" w:ascii="宋体" w:hAnsi="宋体"/>
          <w:sz w:val="24"/>
          <w:szCs w:val="20"/>
        </w:rPr>
        <w:t>二</w:t>
      </w:r>
      <w:r>
        <w:rPr>
          <w:rFonts w:ascii="宋体" w:hAnsi="宋体"/>
          <w:sz w:val="24"/>
          <w:szCs w:val="20"/>
        </w:rPr>
        <w:t>、我单位具有独立承担民事责任的能力。</w:t>
      </w:r>
    </w:p>
    <w:p>
      <w:pPr>
        <w:adjustRightInd w:val="0"/>
        <w:snapToGrid w:val="0"/>
        <w:spacing w:line="360" w:lineRule="auto"/>
        <w:ind w:firstLine="566" w:firstLineChars="236"/>
        <w:contextualSpacing/>
        <w:textAlignment w:val="baseline"/>
        <w:rPr>
          <w:rFonts w:ascii="宋体" w:hAnsi="宋体"/>
          <w:sz w:val="24"/>
          <w:szCs w:val="20"/>
        </w:rPr>
      </w:pPr>
      <w:r>
        <w:rPr>
          <w:rFonts w:hint="eastAsia" w:ascii="宋体" w:hAnsi="宋体"/>
          <w:sz w:val="24"/>
          <w:szCs w:val="20"/>
        </w:rPr>
        <w:t>三</w:t>
      </w:r>
      <w:r>
        <w:rPr>
          <w:rFonts w:ascii="宋体" w:hAnsi="宋体"/>
          <w:sz w:val="24"/>
          <w:szCs w:val="20"/>
        </w:rPr>
        <w:t>、我单位具有良好的商业信誉和健全的财务会计制度。</w:t>
      </w:r>
    </w:p>
    <w:p>
      <w:pPr>
        <w:adjustRightInd w:val="0"/>
        <w:snapToGrid w:val="0"/>
        <w:spacing w:line="360" w:lineRule="auto"/>
        <w:ind w:firstLine="566" w:firstLineChars="236"/>
        <w:contextualSpacing/>
        <w:textAlignment w:val="baseline"/>
        <w:rPr>
          <w:rFonts w:ascii="宋体" w:hAnsi="宋体"/>
          <w:sz w:val="24"/>
          <w:szCs w:val="20"/>
        </w:rPr>
      </w:pPr>
      <w:r>
        <w:rPr>
          <w:rFonts w:hint="eastAsia" w:ascii="宋体" w:hAnsi="宋体"/>
          <w:sz w:val="24"/>
          <w:szCs w:val="20"/>
        </w:rPr>
        <w:t>四</w:t>
      </w:r>
      <w:r>
        <w:rPr>
          <w:rFonts w:ascii="宋体" w:hAnsi="宋体"/>
          <w:sz w:val="24"/>
          <w:szCs w:val="20"/>
        </w:rPr>
        <w:t>、我单位具有履行合同所必需的设备和专业技术能力。</w:t>
      </w:r>
    </w:p>
    <w:p>
      <w:pPr>
        <w:adjustRightInd w:val="0"/>
        <w:snapToGrid w:val="0"/>
        <w:spacing w:line="360" w:lineRule="auto"/>
        <w:ind w:firstLine="566" w:firstLineChars="236"/>
        <w:contextualSpacing/>
        <w:textAlignment w:val="baseline"/>
        <w:rPr>
          <w:rFonts w:ascii="宋体" w:hAnsi="宋体"/>
          <w:sz w:val="24"/>
          <w:szCs w:val="20"/>
        </w:rPr>
      </w:pPr>
      <w:r>
        <w:rPr>
          <w:rFonts w:hint="eastAsia" w:ascii="宋体" w:hAnsi="宋体"/>
          <w:sz w:val="24"/>
          <w:szCs w:val="20"/>
        </w:rPr>
        <w:t>五</w:t>
      </w:r>
      <w:r>
        <w:rPr>
          <w:rFonts w:ascii="宋体" w:hAnsi="宋体"/>
          <w:sz w:val="24"/>
          <w:szCs w:val="20"/>
        </w:rPr>
        <w:t>、我单位有依法缴纳税收和社会保障资金的良好记录。</w:t>
      </w:r>
    </w:p>
    <w:p>
      <w:pPr>
        <w:adjustRightInd w:val="0"/>
        <w:snapToGrid w:val="0"/>
        <w:spacing w:line="360" w:lineRule="auto"/>
        <w:ind w:firstLine="566" w:firstLineChars="236"/>
        <w:contextualSpacing/>
        <w:textAlignment w:val="baseline"/>
        <w:rPr>
          <w:rFonts w:ascii="宋体" w:hAnsi="宋体"/>
          <w:sz w:val="24"/>
          <w:szCs w:val="20"/>
        </w:rPr>
      </w:pPr>
      <w:r>
        <w:rPr>
          <w:rFonts w:hint="eastAsia" w:ascii="宋体" w:hAnsi="宋体"/>
          <w:sz w:val="24"/>
          <w:szCs w:val="20"/>
        </w:rPr>
        <w:t>六</w:t>
      </w:r>
      <w:r>
        <w:rPr>
          <w:rFonts w:ascii="宋体" w:hAnsi="宋体"/>
          <w:sz w:val="24"/>
          <w:szCs w:val="20"/>
        </w:rPr>
        <w:t>、我单位参加采购活动前三年内，在经营活动中没有重大违法记录。（重大违法记录，是指供应商因违法经营受到刑事处罚或者责令停产停业、吊销许可证或者执照、较大数额罚款等行政处罚。）</w:t>
      </w:r>
    </w:p>
    <w:p>
      <w:pPr>
        <w:adjustRightInd w:val="0"/>
        <w:snapToGrid w:val="0"/>
        <w:spacing w:line="360" w:lineRule="auto"/>
        <w:ind w:firstLine="566" w:firstLineChars="236"/>
        <w:contextualSpacing/>
        <w:textAlignment w:val="baseline"/>
        <w:rPr>
          <w:rFonts w:ascii="宋体" w:hAnsi="宋体"/>
          <w:sz w:val="24"/>
          <w:szCs w:val="20"/>
        </w:rPr>
      </w:pPr>
      <w:r>
        <w:rPr>
          <w:rFonts w:hint="eastAsia" w:ascii="宋体" w:hAnsi="宋体"/>
          <w:sz w:val="24"/>
          <w:szCs w:val="20"/>
        </w:rPr>
        <w:t>七</w:t>
      </w:r>
      <w:r>
        <w:rPr>
          <w:rFonts w:ascii="宋体" w:hAnsi="宋体"/>
          <w:sz w:val="24"/>
          <w:szCs w:val="20"/>
        </w:rPr>
        <w:t>、我单位具备法律、行政法规规定的其他条件。</w:t>
      </w:r>
    </w:p>
    <w:p>
      <w:pPr>
        <w:adjustRightInd w:val="0"/>
        <w:snapToGrid w:val="0"/>
        <w:spacing w:line="360" w:lineRule="auto"/>
        <w:ind w:firstLine="482" w:firstLineChars="200"/>
        <w:contextualSpacing/>
        <w:textAlignment w:val="baseline"/>
        <w:rPr>
          <w:rFonts w:ascii="宋体" w:hAnsi="宋体"/>
          <w:b/>
          <w:bCs/>
          <w:sz w:val="24"/>
          <w:szCs w:val="20"/>
        </w:rPr>
      </w:pPr>
      <w:r>
        <w:rPr>
          <w:rFonts w:hint="eastAsia" w:ascii="宋体" w:hAnsi="宋体"/>
          <w:b/>
          <w:bCs/>
          <w:sz w:val="24"/>
          <w:szCs w:val="20"/>
        </w:rPr>
        <w:t>我单位保证上述声明的事项都是真实的，如有虚假，我单位愿意承担相应的法律责任，并承担因此所造成的一切损失。</w:t>
      </w:r>
    </w:p>
    <w:bookmarkEnd w:id="81"/>
    <w:p>
      <w:pPr>
        <w:widowControl/>
        <w:adjustRightInd w:val="0"/>
        <w:spacing w:before="120" w:after="120" w:line="360" w:lineRule="auto"/>
        <w:ind w:firstLine="480" w:firstLineChars="200"/>
        <w:contextualSpacing/>
        <w:jc w:val="left"/>
        <w:rPr>
          <w:rFonts w:ascii="宋体" w:hAnsi="宋体"/>
          <w:sz w:val="24"/>
        </w:rPr>
      </w:pPr>
    </w:p>
    <w:p>
      <w:pPr>
        <w:adjustRightInd w:val="0"/>
        <w:snapToGrid w:val="0"/>
        <w:spacing w:line="360" w:lineRule="auto"/>
        <w:ind w:firstLine="3542" w:firstLineChars="1476"/>
        <w:contextualSpacing/>
        <w:textAlignment w:val="baseline"/>
        <w:rPr>
          <w:rFonts w:ascii="宋体" w:hAnsi="宋体"/>
          <w:sz w:val="24"/>
          <w:szCs w:val="20"/>
        </w:rPr>
      </w:pPr>
      <w:r>
        <w:rPr>
          <w:rFonts w:ascii="宋体" w:hAnsi="宋体"/>
          <w:sz w:val="24"/>
          <w:szCs w:val="20"/>
        </w:rPr>
        <w:t>承诺单位（盖章）：</w:t>
      </w:r>
    </w:p>
    <w:p>
      <w:pPr>
        <w:adjustRightInd w:val="0"/>
        <w:snapToGrid w:val="0"/>
        <w:spacing w:line="360" w:lineRule="auto"/>
        <w:ind w:firstLine="3542" w:firstLineChars="1476"/>
        <w:contextualSpacing/>
        <w:textAlignment w:val="baseline"/>
        <w:rPr>
          <w:rFonts w:ascii="宋体" w:hAnsi="宋体"/>
          <w:sz w:val="24"/>
          <w:szCs w:val="20"/>
        </w:rPr>
      </w:pPr>
      <w:r>
        <w:rPr>
          <w:rFonts w:ascii="宋体" w:hAnsi="宋体"/>
          <w:sz w:val="24"/>
          <w:szCs w:val="20"/>
        </w:rPr>
        <w:t>法定代表人或授权代表（签名或盖章）：</w:t>
      </w:r>
    </w:p>
    <w:p>
      <w:pPr>
        <w:adjustRightInd w:val="0"/>
        <w:snapToGrid w:val="0"/>
        <w:spacing w:line="360" w:lineRule="auto"/>
        <w:ind w:firstLine="3542" w:firstLineChars="1476"/>
        <w:contextualSpacing/>
        <w:textAlignment w:val="baseline"/>
        <w:rPr>
          <w:rFonts w:ascii="宋体" w:hAnsi="宋体"/>
          <w:sz w:val="24"/>
          <w:szCs w:val="20"/>
        </w:rPr>
      </w:pPr>
      <w:r>
        <w:rPr>
          <w:rFonts w:ascii="宋体" w:hAnsi="宋体"/>
          <w:sz w:val="24"/>
          <w:szCs w:val="20"/>
        </w:rPr>
        <w:t>日期：    年   月   日</w:t>
      </w:r>
    </w:p>
    <w:p>
      <w:pPr>
        <w:widowControl/>
        <w:jc w:val="left"/>
        <w:rPr>
          <w:rFonts w:ascii="宋体" w:hAnsi="宋体"/>
          <w:b/>
          <w:sz w:val="24"/>
        </w:rPr>
      </w:pPr>
      <w:r>
        <w:rPr>
          <w:rFonts w:ascii="宋体" w:hAnsi="宋体"/>
          <w:b/>
          <w:sz w:val="24"/>
        </w:rPr>
        <w:br w:type="page"/>
      </w:r>
    </w:p>
    <w:p>
      <w:pPr>
        <w:pStyle w:val="3"/>
        <w:spacing w:line="360" w:lineRule="auto"/>
        <w:jc w:val="center"/>
        <w:rPr>
          <w:rFonts w:ascii="宋体" w:hAnsi="宋体"/>
          <w:b/>
          <w:bCs/>
          <w:sz w:val="24"/>
        </w:rPr>
      </w:pPr>
      <w:r>
        <w:rPr>
          <w:rFonts w:hint="eastAsia" w:ascii="宋体" w:hAnsi="宋体" w:eastAsia="宋体"/>
          <w:b/>
          <w:bCs/>
          <w:sz w:val="24"/>
          <w:szCs w:val="24"/>
        </w:rPr>
        <w:t>十一</w:t>
      </w:r>
      <w:r>
        <w:rPr>
          <w:rFonts w:ascii="宋体" w:hAnsi="宋体" w:eastAsia="宋体"/>
          <w:b/>
          <w:bCs/>
          <w:sz w:val="24"/>
          <w:szCs w:val="24"/>
        </w:rPr>
        <w:t>、</w:t>
      </w:r>
      <w:r>
        <w:rPr>
          <w:rFonts w:hint="eastAsia" w:ascii="宋体" w:hAnsi="宋体" w:eastAsia="宋体"/>
          <w:b/>
          <w:bCs/>
          <w:sz w:val="24"/>
          <w:szCs w:val="24"/>
        </w:rPr>
        <w:t>供应商认为有必要提供的和评分所涉及的其他材料</w:t>
      </w:r>
    </w:p>
    <w:p>
      <w:pPr>
        <w:pStyle w:val="56"/>
        <w:spacing w:line="360" w:lineRule="auto"/>
        <w:jc w:val="center"/>
        <w:rPr>
          <w:rFonts w:hAnsi="宋体"/>
          <w:b/>
          <w:color w:val="auto"/>
          <w:sz w:val="28"/>
          <w:szCs w:val="28"/>
        </w:rPr>
      </w:pPr>
    </w:p>
    <w:p>
      <w:pPr>
        <w:pStyle w:val="56"/>
        <w:spacing w:line="360" w:lineRule="auto"/>
        <w:jc w:val="center"/>
        <w:rPr>
          <w:rFonts w:hAnsi="宋体"/>
          <w:b/>
          <w:color w:val="auto"/>
          <w:sz w:val="28"/>
          <w:szCs w:val="28"/>
        </w:rPr>
      </w:pPr>
    </w:p>
    <w:p>
      <w:pPr>
        <w:pStyle w:val="56"/>
        <w:spacing w:line="360" w:lineRule="auto"/>
        <w:jc w:val="center"/>
        <w:rPr>
          <w:rFonts w:hAnsi="宋体"/>
          <w:b/>
          <w:color w:val="auto"/>
          <w:sz w:val="28"/>
          <w:szCs w:val="28"/>
        </w:rPr>
      </w:pPr>
    </w:p>
    <w:p>
      <w:pPr>
        <w:pStyle w:val="56"/>
        <w:spacing w:line="360" w:lineRule="auto"/>
        <w:jc w:val="center"/>
        <w:rPr>
          <w:rFonts w:hAnsi="宋体"/>
          <w:b/>
          <w:color w:val="auto"/>
          <w:sz w:val="28"/>
          <w:szCs w:val="28"/>
        </w:rPr>
      </w:pPr>
      <w:r>
        <w:rPr>
          <w:rFonts w:hint="eastAsia" w:hAnsi="宋体"/>
          <w:b/>
          <w:color w:val="auto"/>
          <w:sz w:val="28"/>
          <w:szCs w:val="28"/>
        </w:rPr>
        <w:t>关于磋商文件的询问内容</w:t>
      </w:r>
    </w:p>
    <w:p>
      <w:pPr>
        <w:widowControl/>
        <w:spacing w:line="360" w:lineRule="auto"/>
        <w:jc w:val="left"/>
        <w:rPr>
          <w:rFonts w:ascii="宋体" w:hAnsi="宋体"/>
          <w:sz w:val="24"/>
        </w:rPr>
      </w:pPr>
    </w:p>
    <w:p>
      <w:pPr>
        <w:spacing w:line="360" w:lineRule="auto"/>
        <w:jc w:val="left"/>
        <w:rPr>
          <w:rFonts w:ascii="宋体" w:hAnsi="宋体" w:cs="宋体"/>
          <w:bCs/>
          <w:sz w:val="24"/>
        </w:rPr>
      </w:pPr>
      <w:r>
        <w:rPr>
          <w:rFonts w:hint="eastAsia" w:ascii="宋体" w:hAnsi="宋体" w:cs="宋体"/>
          <w:bCs/>
          <w:sz w:val="24"/>
        </w:rPr>
        <w:t>项目名称：</w:t>
      </w:r>
    </w:p>
    <w:p>
      <w:pPr>
        <w:spacing w:line="360" w:lineRule="auto"/>
        <w:jc w:val="left"/>
        <w:rPr>
          <w:rFonts w:ascii="宋体" w:hAnsi="宋体" w:cs="宋体"/>
          <w:bCs/>
          <w:sz w:val="24"/>
        </w:rPr>
      </w:pPr>
      <w:r>
        <w:rPr>
          <w:rFonts w:hint="eastAsia" w:ascii="宋体" w:hAnsi="宋体" w:cs="宋体"/>
          <w:bCs/>
          <w:sz w:val="24"/>
        </w:rPr>
        <w:t>项目编号：</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内容：</w:t>
      </w:r>
    </w:p>
    <w:p>
      <w:pPr>
        <w:widowControl/>
        <w:snapToGrid w:val="0"/>
        <w:spacing w:line="360" w:lineRule="auto"/>
        <w:jc w:val="left"/>
        <w:rPr>
          <w:rFonts w:ascii="宋体" w:hAnsi="宋体"/>
          <w:b/>
          <w:sz w:val="24"/>
          <w:u w:val="single"/>
        </w:rPr>
      </w:pPr>
    </w:p>
    <w:p>
      <w:pPr>
        <w:widowControl/>
        <w:snapToGrid w:val="0"/>
        <w:spacing w:line="360" w:lineRule="auto"/>
        <w:jc w:val="left"/>
        <w:rPr>
          <w:rFonts w:ascii="宋体" w:hAnsi="宋体"/>
          <w:b/>
          <w:sz w:val="24"/>
          <w:u w:val="single"/>
        </w:rPr>
      </w:pPr>
    </w:p>
    <w:p>
      <w:pPr>
        <w:widowControl/>
        <w:snapToGrid w:val="0"/>
        <w:spacing w:line="360" w:lineRule="auto"/>
        <w:jc w:val="left"/>
        <w:rPr>
          <w:rFonts w:ascii="宋体" w:hAnsi="宋体"/>
          <w:b/>
          <w:sz w:val="24"/>
          <w:u w:val="single"/>
        </w:rPr>
      </w:pPr>
    </w:p>
    <w:p>
      <w:pPr>
        <w:widowControl/>
        <w:snapToGrid w:val="0"/>
        <w:spacing w:line="360" w:lineRule="auto"/>
        <w:jc w:val="left"/>
        <w:rPr>
          <w:rFonts w:ascii="宋体" w:hAnsi="宋体"/>
          <w:b/>
          <w:sz w:val="24"/>
          <w:u w:val="single"/>
        </w:rPr>
      </w:pPr>
    </w:p>
    <w:p>
      <w:pPr>
        <w:widowControl/>
        <w:snapToGrid w:val="0"/>
        <w:spacing w:line="360" w:lineRule="auto"/>
        <w:jc w:val="left"/>
        <w:rPr>
          <w:rFonts w:ascii="宋体" w:hAnsi="宋体"/>
          <w:b/>
          <w:sz w:val="24"/>
          <w:u w:val="single"/>
        </w:rPr>
      </w:pPr>
    </w:p>
    <w:p>
      <w:pPr>
        <w:pStyle w:val="9"/>
        <w:spacing w:line="360" w:lineRule="auto"/>
        <w:rPr>
          <w:rFonts w:ascii="宋体" w:hAnsi="宋体"/>
          <w:b/>
          <w:sz w:val="24"/>
          <w:u w:val="single"/>
        </w:rPr>
      </w:pPr>
    </w:p>
    <w:p>
      <w:pPr>
        <w:pStyle w:val="9"/>
        <w:spacing w:line="360" w:lineRule="auto"/>
        <w:rPr>
          <w:rFonts w:ascii="宋体" w:hAnsi="宋体"/>
          <w:b/>
          <w:sz w:val="24"/>
          <w:u w:val="single"/>
        </w:rPr>
      </w:pPr>
    </w:p>
    <w:p>
      <w:pPr>
        <w:widowControl/>
        <w:snapToGrid w:val="0"/>
        <w:spacing w:line="360" w:lineRule="auto"/>
        <w:jc w:val="left"/>
        <w:rPr>
          <w:rFonts w:ascii="宋体" w:hAnsi="宋体"/>
          <w:b/>
          <w:sz w:val="24"/>
          <w:u w:val="single"/>
        </w:rPr>
      </w:pPr>
    </w:p>
    <w:p>
      <w:pPr>
        <w:widowControl/>
        <w:snapToGrid w:val="0"/>
        <w:spacing w:line="360" w:lineRule="auto"/>
        <w:jc w:val="left"/>
        <w:rPr>
          <w:rFonts w:ascii="宋体" w:hAnsi="宋体"/>
          <w:b/>
          <w:sz w:val="24"/>
          <w:u w:val="single"/>
        </w:rPr>
      </w:pPr>
    </w:p>
    <w:p>
      <w:pPr>
        <w:spacing w:line="360" w:lineRule="auto"/>
        <w:jc w:val="left"/>
        <w:rPr>
          <w:rFonts w:ascii="宋体" w:hAnsi="宋体" w:cs="宋体"/>
          <w:bCs/>
          <w:sz w:val="24"/>
        </w:rPr>
      </w:pPr>
      <w:r>
        <w:rPr>
          <w:rFonts w:hint="eastAsia" w:ascii="宋体" w:hAnsi="宋体" w:cs="宋体"/>
          <w:bCs/>
          <w:sz w:val="24"/>
        </w:rPr>
        <w:t>供应商名称（盖章）：</w:t>
      </w:r>
    </w:p>
    <w:p>
      <w:pPr>
        <w:spacing w:line="360" w:lineRule="auto"/>
        <w:jc w:val="left"/>
        <w:rPr>
          <w:rFonts w:ascii="宋体" w:hAnsi="宋体" w:cs="宋体"/>
          <w:bCs/>
          <w:sz w:val="24"/>
        </w:rPr>
      </w:pPr>
      <w:r>
        <w:rPr>
          <w:rFonts w:hint="eastAsia" w:ascii="宋体" w:hAnsi="宋体" w:cs="宋体"/>
          <w:bCs/>
          <w:sz w:val="24"/>
        </w:rPr>
        <w:t>法定代表人或授权代表（签名或盖章）：</w:t>
      </w:r>
    </w:p>
    <w:p>
      <w:pPr>
        <w:spacing w:line="360" w:lineRule="auto"/>
        <w:jc w:val="left"/>
        <w:rPr>
          <w:rFonts w:ascii="宋体" w:hAnsi="宋体" w:cs="宋体"/>
          <w:bCs/>
          <w:sz w:val="24"/>
        </w:rPr>
      </w:pPr>
      <w:r>
        <w:rPr>
          <w:rFonts w:hint="eastAsia" w:ascii="宋体" w:hAnsi="宋体" w:cs="宋体"/>
          <w:bCs/>
          <w:sz w:val="24"/>
        </w:rPr>
        <w:t>时间：    年   月   日</w:t>
      </w:r>
      <w:bookmarkEnd w:id="0"/>
      <w:bookmarkEnd w:id="1"/>
      <w:bookmarkEnd w:id="47"/>
      <w:bookmarkEnd w:id="48"/>
      <w:bookmarkEnd w:id="49"/>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Adobe 仿宋 Std R">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4236461"/>
    </w:sdtPr>
    <w:sdtContent>
      <w:p>
        <w:pPr>
          <w:pStyle w:val="14"/>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591"/>
    </w:sdtPr>
    <w:sdtContent>
      <w:p>
        <w:pPr>
          <w:pStyle w:val="14"/>
          <w:jc w:val="center"/>
        </w:pPr>
        <w:r>
          <w:fldChar w:fldCharType="begin"/>
        </w:r>
        <w:r>
          <w:instrText xml:space="preserve">PAGE   \* MERGEFORMAT</w:instrText>
        </w:r>
        <w:r>
          <w:fldChar w:fldCharType="separate"/>
        </w:r>
        <w:r>
          <w:rPr>
            <w:lang w:val="zh-CN"/>
          </w:rPr>
          <w:t>23</w:t>
        </w:r>
        <w:r>
          <w:rPr>
            <w:lang w:val="zh-CN"/>
          </w:rPr>
          <w:fldChar w:fldCharType="end"/>
        </w:r>
      </w:p>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fldChar w:fldCharType="begin"/>
    </w:r>
    <w:r>
      <w:instrText xml:space="preserve">PAGE   \* MERGEFORMAT</w:instrText>
    </w:r>
    <w:r>
      <w:fldChar w:fldCharType="separate"/>
    </w:r>
    <w:r>
      <w:rPr>
        <w:lang w:val="zh-CN"/>
      </w:rPr>
      <w:t>40</w:t>
    </w:r>
    <w:r>
      <w:rPr>
        <w:lang w:val="zh-CN"/>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50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A0AB2"/>
    <w:multiLevelType w:val="singleLevel"/>
    <w:tmpl w:val="D35A0AB2"/>
    <w:lvl w:ilvl="0" w:tentative="0">
      <w:start w:val="4"/>
      <w:numFmt w:val="chineseCounting"/>
      <w:suff w:val="nothing"/>
      <w:lvlText w:val="%1、"/>
      <w:lvlJc w:val="left"/>
      <w:rPr>
        <w:rFonts w:hint="eastAsia"/>
      </w:rPr>
    </w:lvl>
  </w:abstractNum>
  <w:abstractNum w:abstractNumId="1">
    <w:nsid w:val="2A646790"/>
    <w:multiLevelType w:val="multilevel"/>
    <w:tmpl w:val="2A646790"/>
    <w:lvl w:ilvl="0" w:tentative="0">
      <w:start w:val="1"/>
      <w:numFmt w:val="decimal"/>
      <w:lvlText w:val="%1."/>
      <w:lvlJc w:val="left"/>
      <w:pPr>
        <w:tabs>
          <w:tab w:val="left" w:pos="1224"/>
        </w:tabs>
        <w:ind w:left="1224" w:hanging="1224"/>
      </w:pPr>
    </w:lvl>
    <w:lvl w:ilvl="1" w:tentative="0">
      <w:start w:val="1"/>
      <w:numFmt w:val="decimal"/>
      <w:pStyle w:val="76"/>
      <w:lvlText w:val="%1.%2"/>
      <w:lvlJc w:val="left"/>
      <w:pPr>
        <w:tabs>
          <w:tab w:val="left" w:pos="1224"/>
        </w:tabs>
        <w:ind w:left="1224" w:hanging="1224"/>
      </w:pPr>
      <w:rPr>
        <w:rFonts w:hint="default" w:ascii="宋体" w:hAnsi="宋体" w:eastAsia="宋体"/>
        <w:b w:val="0"/>
        <w:bCs/>
        <w:i w:val="0"/>
        <w:iCs w:val="0"/>
        <w:caps w:val="0"/>
        <w:smallCaps w:val="0"/>
        <w:strike w:val="0"/>
        <w:dstrike w:val="0"/>
        <w:color w:val="auto"/>
        <w:spacing w:val="0"/>
        <w:w w:val="100"/>
        <w:kern w:val="2"/>
        <w:position w:val="0"/>
        <w:sz w:val="24"/>
        <w:szCs w:val="24"/>
        <w:u w:val="none"/>
        <w:vertAlign w:val="baseline"/>
      </w:rPr>
    </w:lvl>
    <w:lvl w:ilvl="2" w:tentative="0">
      <w:start w:val="1"/>
      <w:numFmt w:val="decimal"/>
      <w:lvlText w:val="%1.%2.%3"/>
      <w:lvlJc w:val="left"/>
      <w:pPr>
        <w:tabs>
          <w:tab w:val="left" w:pos="1933"/>
        </w:tabs>
        <w:ind w:left="1933" w:hanging="1224"/>
      </w:pPr>
      <w:rPr>
        <w:rFonts w:hint="default" w:ascii="宋体" w:hAnsi="宋体" w:eastAsia="宋体"/>
        <w:b w:val="0"/>
        <w:sz w:val="24"/>
        <w:szCs w:val="24"/>
      </w:rPr>
    </w:lvl>
    <w:lvl w:ilvl="3" w:tentative="0">
      <w:start w:val="1"/>
      <w:numFmt w:val="decimal"/>
      <w:lvlText w:val="%1.%2.%3.%4."/>
      <w:lvlJc w:val="left"/>
      <w:pPr>
        <w:tabs>
          <w:tab w:val="left" w:pos="1792"/>
        </w:tabs>
        <w:ind w:left="1792" w:hanging="1225"/>
      </w:pPr>
      <w:rPr>
        <w:b w:val="0"/>
        <w:i w:val="0"/>
        <w:iCs w:val="0"/>
        <w:caps w:val="0"/>
        <w:smallCaps w:val="0"/>
        <w:strike w:val="0"/>
        <w:dstrike w:val="0"/>
        <w:spacing w:val="0"/>
        <w:kern w:val="0"/>
        <w:position w:val="0"/>
        <w:u w:val="none"/>
        <w:vertAlign w:val="baseline"/>
      </w:rPr>
    </w:lvl>
    <w:lvl w:ilvl="4" w:tentative="0">
      <w:start w:val="1"/>
      <w:numFmt w:val="decimal"/>
      <w:lvlText w:val="%1.%2.%3.%4.%5"/>
      <w:lvlJc w:val="left"/>
      <w:pPr>
        <w:tabs>
          <w:tab w:val="left" w:pos="2100"/>
        </w:tabs>
        <w:ind w:left="2100" w:hanging="420"/>
      </w:pPr>
      <w:rPr>
        <w:b w:val="0"/>
        <w:sz w:val="24"/>
        <w:szCs w:val="24"/>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CCA104"/>
    <w:multiLevelType w:val="singleLevel"/>
    <w:tmpl w:val="59CCA104"/>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OGVkMmQ5Mjg0Y2EzNzExMjg3MTU1MGY5MmI0MTEifQ=="/>
  </w:docVars>
  <w:rsids>
    <w:rsidRoot w:val="0E68782A"/>
    <w:rsid w:val="000023F1"/>
    <w:rsid w:val="00003AF1"/>
    <w:rsid w:val="00010A9A"/>
    <w:rsid w:val="00010E9D"/>
    <w:rsid w:val="00013459"/>
    <w:rsid w:val="0001433B"/>
    <w:rsid w:val="00014D66"/>
    <w:rsid w:val="00020B35"/>
    <w:rsid w:val="000211E7"/>
    <w:rsid w:val="00022919"/>
    <w:rsid w:val="0002308D"/>
    <w:rsid w:val="00023DBF"/>
    <w:rsid w:val="00026B99"/>
    <w:rsid w:val="00032A2D"/>
    <w:rsid w:val="00032F1F"/>
    <w:rsid w:val="00037722"/>
    <w:rsid w:val="00037F51"/>
    <w:rsid w:val="000414C2"/>
    <w:rsid w:val="00041C23"/>
    <w:rsid w:val="00045173"/>
    <w:rsid w:val="00045B0E"/>
    <w:rsid w:val="000463F7"/>
    <w:rsid w:val="00050FC9"/>
    <w:rsid w:val="0005154C"/>
    <w:rsid w:val="00051838"/>
    <w:rsid w:val="000559FA"/>
    <w:rsid w:val="00056834"/>
    <w:rsid w:val="00057CE1"/>
    <w:rsid w:val="00064B3F"/>
    <w:rsid w:val="00073A9F"/>
    <w:rsid w:val="00073B55"/>
    <w:rsid w:val="00076621"/>
    <w:rsid w:val="000773D6"/>
    <w:rsid w:val="00077866"/>
    <w:rsid w:val="00080198"/>
    <w:rsid w:val="00080360"/>
    <w:rsid w:val="000803CE"/>
    <w:rsid w:val="00080DFD"/>
    <w:rsid w:val="000838D1"/>
    <w:rsid w:val="00091055"/>
    <w:rsid w:val="00091730"/>
    <w:rsid w:val="00093459"/>
    <w:rsid w:val="00093910"/>
    <w:rsid w:val="00093AB8"/>
    <w:rsid w:val="00096029"/>
    <w:rsid w:val="000A2A9F"/>
    <w:rsid w:val="000A32E9"/>
    <w:rsid w:val="000A32EB"/>
    <w:rsid w:val="000A380A"/>
    <w:rsid w:val="000A3855"/>
    <w:rsid w:val="000A6E8B"/>
    <w:rsid w:val="000A7118"/>
    <w:rsid w:val="000B0989"/>
    <w:rsid w:val="000B5695"/>
    <w:rsid w:val="000B5E22"/>
    <w:rsid w:val="000C1686"/>
    <w:rsid w:val="000C3F6A"/>
    <w:rsid w:val="000C5D94"/>
    <w:rsid w:val="000E0A86"/>
    <w:rsid w:val="000E33BF"/>
    <w:rsid w:val="000E507E"/>
    <w:rsid w:val="000F00B1"/>
    <w:rsid w:val="000F170E"/>
    <w:rsid w:val="000F18C7"/>
    <w:rsid w:val="000F371C"/>
    <w:rsid w:val="000F43F9"/>
    <w:rsid w:val="000F53DA"/>
    <w:rsid w:val="00101C97"/>
    <w:rsid w:val="00102313"/>
    <w:rsid w:val="00104261"/>
    <w:rsid w:val="001069BF"/>
    <w:rsid w:val="00115979"/>
    <w:rsid w:val="00120F27"/>
    <w:rsid w:val="0012141E"/>
    <w:rsid w:val="00123574"/>
    <w:rsid w:val="00124BED"/>
    <w:rsid w:val="00125017"/>
    <w:rsid w:val="001310DB"/>
    <w:rsid w:val="001356DD"/>
    <w:rsid w:val="00137715"/>
    <w:rsid w:val="00137D5B"/>
    <w:rsid w:val="00140A3F"/>
    <w:rsid w:val="00140F93"/>
    <w:rsid w:val="00141915"/>
    <w:rsid w:val="00141E2D"/>
    <w:rsid w:val="00142294"/>
    <w:rsid w:val="00144F0E"/>
    <w:rsid w:val="00150261"/>
    <w:rsid w:val="0015133D"/>
    <w:rsid w:val="00153C05"/>
    <w:rsid w:val="001618C6"/>
    <w:rsid w:val="00166F24"/>
    <w:rsid w:val="0017179C"/>
    <w:rsid w:val="00171C78"/>
    <w:rsid w:val="001754D1"/>
    <w:rsid w:val="00177809"/>
    <w:rsid w:val="00184712"/>
    <w:rsid w:val="00184B80"/>
    <w:rsid w:val="00185527"/>
    <w:rsid w:val="001871DD"/>
    <w:rsid w:val="00190DAC"/>
    <w:rsid w:val="00191DF2"/>
    <w:rsid w:val="00192449"/>
    <w:rsid w:val="00192765"/>
    <w:rsid w:val="00195B2E"/>
    <w:rsid w:val="00196E79"/>
    <w:rsid w:val="00197FD9"/>
    <w:rsid w:val="001A144B"/>
    <w:rsid w:val="001A5D20"/>
    <w:rsid w:val="001A699B"/>
    <w:rsid w:val="001B0234"/>
    <w:rsid w:val="001B4E8B"/>
    <w:rsid w:val="001C2FB1"/>
    <w:rsid w:val="001C47AF"/>
    <w:rsid w:val="001C57B2"/>
    <w:rsid w:val="001D04FF"/>
    <w:rsid w:val="001D6AA4"/>
    <w:rsid w:val="001E0889"/>
    <w:rsid w:val="001E4F0C"/>
    <w:rsid w:val="001F2E77"/>
    <w:rsid w:val="001F4E3F"/>
    <w:rsid w:val="001F67CA"/>
    <w:rsid w:val="00202EC6"/>
    <w:rsid w:val="00203420"/>
    <w:rsid w:val="0020545D"/>
    <w:rsid w:val="0020586D"/>
    <w:rsid w:val="00205DAB"/>
    <w:rsid w:val="00210125"/>
    <w:rsid w:val="0021023D"/>
    <w:rsid w:val="00210B60"/>
    <w:rsid w:val="00211F1D"/>
    <w:rsid w:val="00212184"/>
    <w:rsid w:val="00215E78"/>
    <w:rsid w:val="0021701F"/>
    <w:rsid w:val="00221206"/>
    <w:rsid w:val="0022272B"/>
    <w:rsid w:val="002266C1"/>
    <w:rsid w:val="00227C39"/>
    <w:rsid w:val="00232704"/>
    <w:rsid w:val="002367D2"/>
    <w:rsid w:val="00237ED1"/>
    <w:rsid w:val="00241D03"/>
    <w:rsid w:val="00241EE7"/>
    <w:rsid w:val="002431BF"/>
    <w:rsid w:val="00247048"/>
    <w:rsid w:val="0024749C"/>
    <w:rsid w:val="00253213"/>
    <w:rsid w:val="00253995"/>
    <w:rsid w:val="00254B8C"/>
    <w:rsid w:val="00255347"/>
    <w:rsid w:val="00256A9E"/>
    <w:rsid w:val="00260F53"/>
    <w:rsid w:val="002637E0"/>
    <w:rsid w:val="00264535"/>
    <w:rsid w:val="00265662"/>
    <w:rsid w:val="00265CE7"/>
    <w:rsid w:val="00266717"/>
    <w:rsid w:val="002675D1"/>
    <w:rsid w:val="00270EF4"/>
    <w:rsid w:val="00271041"/>
    <w:rsid w:val="00274466"/>
    <w:rsid w:val="00274E1C"/>
    <w:rsid w:val="00276B4D"/>
    <w:rsid w:val="002803B8"/>
    <w:rsid w:val="00280923"/>
    <w:rsid w:val="00283EC0"/>
    <w:rsid w:val="00285CD4"/>
    <w:rsid w:val="0029231E"/>
    <w:rsid w:val="002929F6"/>
    <w:rsid w:val="00294C1D"/>
    <w:rsid w:val="00295BBF"/>
    <w:rsid w:val="002962C4"/>
    <w:rsid w:val="00297063"/>
    <w:rsid w:val="002A05B7"/>
    <w:rsid w:val="002A0B23"/>
    <w:rsid w:val="002A565E"/>
    <w:rsid w:val="002A5CC5"/>
    <w:rsid w:val="002A73C6"/>
    <w:rsid w:val="002A753A"/>
    <w:rsid w:val="002A772A"/>
    <w:rsid w:val="002A775A"/>
    <w:rsid w:val="002B15CC"/>
    <w:rsid w:val="002B4CF5"/>
    <w:rsid w:val="002B7562"/>
    <w:rsid w:val="002C1FAD"/>
    <w:rsid w:val="002C2C59"/>
    <w:rsid w:val="002D11AE"/>
    <w:rsid w:val="002D163D"/>
    <w:rsid w:val="002D2DC2"/>
    <w:rsid w:val="002D3B00"/>
    <w:rsid w:val="002D3ED1"/>
    <w:rsid w:val="002E00E1"/>
    <w:rsid w:val="002E0B99"/>
    <w:rsid w:val="002E2824"/>
    <w:rsid w:val="002E2E33"/>
    <w:rsid w:val="002E308C"/>
    <w:rsid w:val="002E6C26"/>
    <w:rsid w:val="002F0C26"/>
    <w:rsid w:val="002F62B9"/>
    <w:rsid w:val="003001CE"/>
    <w:rsid w:val="00300215"/>
    <w:rsid w:val="00300C0F"/>
    <w:rsid w:val="00302561"/>
    <w:rsid w:val="00303923"/>
    <w:rsid w:val="003040A4"/>
    <w:rsid w:val="00304385"/>
    <w:rsid w:val="0030466A"/>
    <w:rsid w:val="00310599"/>
    <w:rsid w:val="0031141E"/>
    <w:rsid w:val="00311900"/>
    <w:rsid w:val="00312237"/>
    <w:rsid w:val="00316AB8"/>
    <w:rsid w:val="00317676"/>
    <w:rsid w:val="003263CA"/>
    <w:rsid w:val="003302DF"/>
    <w:rsid w:val="003305C1"/>
    <w:rsid w:val="00332485"/>
    <w:rsid w:val="0033380D"/>
    <w:rsid w:val="00333CC4"/>
    <w:rsid w:val="00334640"/>
    <w:rsid w:val="00334A1F"/>
    <w:rsid w:val="00336A49"/>
    <w:rsid w:val="00340259"/>
    <w:rsid w:val="00341736"/>
    <w:rsid w:val="003421BE"/>
    <w:rsid w:val="00342AB6"/>
    <w:rsid w:val="0034475E"/>
    <w:rsid w:val="003457E7"/>
    <w:rsid w:val="00345812"/>
    <w:rsid w:val="003458C8"/>
    <w:rsid w:val="00345D7A"/>
    <w:rsid w:val="00346144"/>
    <w:rsid w:val="00347661"/>
    <w:rsid w:val="00347CBA"/>
    <w:rsid w:val="003501D4"/>
    <w:rsid w:val="00350DBC"/>
    <w:rsid w:val="00351CD4"/>
    <w:rsid w:val="00355560"/>
    <w:rsid w:val="00356C22"/>
    <w:rsid w:val="00356F5D"/>
    <w:rsid w:val="0036194C"/>
    <w:rsid w:val="00362CC5"/>
    <w:rsid w:val="0036646B"/>
    <w:rsid w:val="00367845"/>
    <w:rsid w:val="00373375"/>
    <w:rsid w:val="0037350D"/>
    <w:rsid w:val="00374416"/>
    <w:rsid w:val="003751FC"/>
    <w:rsid w:val="003763E6"/>
    <w:rsid w:val="00376B74"/>
    <w:rsid w:val="00382D6F"/>
    <w:rsid w:val="00383F58"/>
    <w:rsid w:val="00386165"/>
    <w:rsid w:val="00392663"/>
    <w:rsid w:val="003975FA"/>
    <w:rsid w:val="003A14B5"/>
    <w:rsid w:val="003A2A40"/>
    <w:rsid w:val="003A2CF3"/>
    <w:rsid w:val="003A6805"/>
    <w:rsid w:val="003B007F"/>
    <w:rsid w:val="003B0A18"/>
    <w:rsid w:val="003B33A5"/>
    <w:rsid w:val="003B3FBF"/>
    <w:rsid w:val="003D2C57"/>
    <w:rsid w:val="003D3867"/>
    <w:rsid w:val="003D4128"/>
    <w:rsid w:val="003D418B"/>
    <w:rsid w:val="003D6526"/>
    <w:rsid w:val="003E04A2"/>
    <w:rsid w:val="003E05DF"/>
    <w:rsid w:val="003E41AB"/>
    <w:rsid w:val="003E65FE"/>
    <w:rsid w:val="003F28A0"/>
    <w:rsid w:val="003F2BDE"/>
    <w:rsid w:val="003F75D0"/>
    <w:rsid w:val="00401B72"/>
    <w:rsid w:val="00410B9E"/>
    <w:rsid w:val="00412046"/>
    <w:rsid w:val="00413E67"/>
    <w:rsid w:val="00417C8E"/>
    <w:rsid w:val="00417F00"/>
    <w:rsid w:val="00420139"/>
    <w:rsid w:val="004203F5"/>
    <w:rsid w:val="00421AB0"/>
    <w:rsid w:val="004238B3"/>
    <w:rsid w:val="00425C3D"/>
    <w:rsid w:val="0043136F"/>
    <w:rsid w:val="00436610"/>
    <w:rsid w:val="0043708A"/>
    <w:rsid w:val="00440E86"/>
    <w:rsid w:val="00441758"/>
    <w:rsid w:val="00442D09"/>
    <w:rsid w:val="0044649B"/>
    <w:rsid w:val="00446734"/>
    <w:rsid w:val="00446D87"/>
    <w:rsid w:val="00447BAB"/>
    <w:rsid w:val="00447FBA"/>
    <w:rsid w:val="00452944"/>
    <w:rsid w:val="00454EC8"/>
    <w:rsid w:val="00455BCF"/>
    <w:rsid w:val="00455E20"/>
    <w:rsid w:val="0046028D"/>
    <w:rsid w:val="00461323"/>
    <w:rsid w:val="00461E57"/>
    <w:rsid w:val="00462CEE"/>
    <w:rsid w:val="00466285"/>
    <w:rsid w:val="00467533"/>
    <w:rsid w:val="0047091D"/>
    <w:rsid w:val="004713BC"/>
    <w:rsid w:val="00471869"/>
    <w:rsid w:val="00476094"/>
    <w:rsid w:val="00482ECA"/>
    <w:rsid w:val="0048352E"/>
    <w:rsid w:val="0048677A"/>
    <w:rsid w:val="00491818"/>
    <w:rsid w:val="004976B8"/>
    <w:rsid w:val="004A2482"/>
    <w:rsid w:val="004A7397"/>
    <w:rsid w:val="004A7453"/>
    <w:rsid w:val="004A7817"/>
    <w:rsid w:val="004A791D"/>
    <w:rsid w:val="004A7D35"/>
    <w:rsid w:val="004B65AD"/>
    <w:rsid w:val="004B668D"/>
    <w:rsid w:val="004B6C11"/>
    <w:rsid w:val="004B76ED"/>
    <w:rsid w:val="004C1675"/>
    <w:rsid w:val="004C2F5A"/>
    <w:rsid w:val="004C324C"/>
    <w:rsid w:val="004C57D9"/>
    <w:rsid w:val="004C69CF"/>
    <w:rsid w:val="004C76BD"/>
    <w:rsid w:val="004D129E"/>
    <w:rsid w:val="004D27B9"/>
    <w:rsid w:val="004D4CF2"/>
    <w:rsid w:val="004D5128"/>
    <w:rsid w:val="004D5B1B"/>
    <w:rsid w:val="004E0C37"/>
    <w:rsid w:val="004E527B"/>
    <w:rsid w:val="004E6600"/>
    <w:rsid w:val="004E7206"/>
    <w:rsid w:val="004E7C53"/>
    <w:rsid w:val="004E7C78"/>
    <w:rsid w:val="004F0BF8"/>
    <w:rsid w:val="004F1044"/>
    <w:rsid w:val="004F325A"/>
    <w:rsid w:val="004F336C"/>
    <w:rsid w:val="004F38D6"/>
    <w:rsid w:val="004F4D63"/>
    <w:rsid w:val="004F5618"/>
    <w:rsid w:val="004F5B73"/>
    <w:rsid w:val="004F6F4A"/>
    <w:rsid w:val="004F6F9C"/>
    <w:rsid w:val="005029A5"/>
    <w:rsid w:val="00503EFD"/>
    <w:rsid w:val="0050629E"/>
    <w:rsid w:val="0051070D"/>
    <w:rsid w:val="00511009"/>
    <w:rsid w:val="00514C3F"/>
    <w:rsid w:val="005171BC"/>
    <w:rsid w:val="005175B2"/>
    <w:rsid w:val="00520E3B"/>
    <w:rsid w:val="00521FAA"/>
    <w:rsid w:val="00523BC9"/>
    <w:rsid w:val="00523FD1"/>
    <w:rsid w:val="0052639D"/>
    <w:rsid w:val="0052673C"/>
    <w:rsid w:val="0053082A"/>
    <w:rsid w:val="00531FD9"/>
    <w:rsid w:val="00534323"/>
    <w:rsid w:val="00534B7F"/>
    <w:rsid w:val="0054136C"/>
    <w:rsid w:val="00550AFD"/>
    <w:rsid w:val="00551ACB"/>
    <w:rsid w:val="00556B3F"/>
    <w:rsid w:val="00556DC9"/>
    <w:rsid w:val="0055730E"/>
    <w:rsid w:val="00562E1F"/>
    <w:rsid w:val="00563113"/>
    <w:rsid w:val="00563561"/>
    <w:rsid w:val="00570559"/>
    <w:rsid w:val="00573127"/>
    <w:rsid w:val="00574880"/>
    <w:rsid w:val="0057523E"/>
    <w:rsid w:val="0057558F"/>
    <w:rsid w:val="0057732B"/>
    <w:rsid w:val="00581001"/>
    <w:rsid w:val="0058565D"/>
    <w:rsid w:val="00585696"/>
    <w:rsid w:val="0059092F"/>
    <w:rsid w:val="00591247"/>
    <w:rsid w:val="00591DE1"/>
    <w:rsid w:val="00594CDF"/>
    <w:rsid w:val="005A100F"/>
    <w:rsid w:val="005B0A27"/>
    <w:rsid w:val="005B1144"/>
    <w:rsid w:val="005B194F"/>
    <w:rsid w:val="005B5C8D"/>
    <w:rsid w:val="005C10BD"/>
    <w:rsid w:val="005C28E9"/>
    <w:rsid w:val="005C6F07"/>
    <w:rsid w:val="005D0989"/>
    <w:rsid w:val="005D28F7"/>
    <w:rsid w:val="005E413F"/>
    <w:rsid w:val="005F3D06"/>
    <w:rsid w:val="00601D27"/>
    <w:rsid w:val="00606C5A"/>
    <w:rsid w:val="00610EBA"/>
    <w:rsid w:val="0061360C"/>
    <w:rsid w:val="00617C64"/>
    <w:rsid w:val="0062043F"/>
    <w:rsid w:val="00620F35"/>
    <w:rsid w:val="00620F45"/>
    <w:rsid w:val="006211DF"/>
    <w:rsid w:val="00626109"/>
    <w:rsid w:val="00627CB8"/>
    <w:rsid w:val="00630655"/>
    <w:rsid w:val="006362B6"/>
    <w:rsid w:val="0063707E"/>
    <w:rsid w:val="006376C0"/>
    <w:rsid w:val="006376D1"/>
    <w:rsid w:val="00641201"/>
    <w:rsid w:val="00641BA3"/>
    <w:rsid w:val="00643127"/>
    <w:rsid w:val="00646425"/>
    <w:rsid w:val="0064685B"/>
    <w:rsid w:val="00651E2A"/>
    <w:rsid w:val="00655509"/>
    <w:rsid w:val="0065562E"/>
    <w:rsid w:val="006558D6"/>
    <w:rsid w:val="00662CAA"/>
    <w:rsid w:val="00663209"/>
    <w:rsid w:val="006632FA"/>
    <w:rsid w:val="00670616"/>
    <w:rsid w:val="00670B03"/>
    <w:rsid w:val="0067260E"/>
    <w:rsid w:val="006737FB"/>
    <w:rsid w:val="00675AB8"/>
    <w:rsid w:val="00676B44"/>
    <w:rsid w:val="0068032F"/>
    <w:rsid w:val="00682A93"/>
    <w:rsid w:val="00683F34"/>
    <w:rsid w:val="0068433B"/>
    <w:rsid w:val="006860DD"/>
    <w:rsid w:val="00687FD8"/>
    <w:rsid w:val="00696B9C"/>
    <w:rsid w:val="006A081F"/>
    <w:rsid w:val="006A111E"/>
    <w:rsid w:val="006A161C"/>
    <w:rsid w:val="006A40AF"/>
    <w:rsid w:val="006A483D"/>
    <w:rsid w:val="006A53FC"/>
    <w:rsid w:val="006B0DAF"/>
    <w:rsid w:val="006B1C46"/>
    <w:rsid w:val="006B2F1E"/>
    <w:rsid w:val="006B3A95"/>
    <w:rsid w:val="006B4472"/>
    <w:rsid w:val="006B5570"/>
    <w:rsid w:val="006B63D6"/>
    <w:rsid w:val="006B6746"/>
    <w:rsid w:val="006C4DF9"/>
    <w:rsid w:val="006C54F5"/>
    <w:rsid w:val="006D0858"/>
    <w:rsid w:val="006D0C4E"/>
    <w:rsid w:val="006D3EE7"/>
    <w:rsid w:val="006D577B"/>
    <w:rsid w:val="006D7203"/>
    <w:rsid w:val="006D755F"/>
    <w:rsid w:val="006D782D"/>
    <w:rsid w:val="006E0E28"/>
    <w:rsid w:val="006E1D6C"/>
    <w:rsid w:val="006E3137"/>
    <w:rsid w:val="006E3E80"/>
    <w:rsid w:val="006E3FB6"/>
    <w:rsid w:val="006E62F1"/>
    <w:rsid w:val="006F1A46"/>
    <w:rsid w:val="006F65FE"/>
    <w:rsid w:val="006F695E"/>
    <w:rsid w:val="006F7657"/>
    <w:rsid w:val="006F7981"/>
    <w:rsid w:val="006F7D69"/>
    <w:rsid w:val="007011ED"/>
    <w:rsid w:val="00704EC6"/>
    <w:rsid w:val="00711EF0"/>
    <w:rsid w:val="007120F9"/>
    <w:rsid w:val="007154FD"/>
    <w:rsid w:val="00717AE2"/>
    <w:rsid w:val="00717C23"/>
    <w:rsid w:val="00720BF9"/>
    <w:rsid w:val="00720E51"/>
    <w:rsid w:val="007228B4"/>
    <w:rsid w:val="00730571"/>
    <w:rsid w:val="00732ACD"/>
    <w:rsid w:val="007436DC"/>
    <w:rsid w:val="007438FD"/>
    <w:rsid w:val="00743E77"/>
    <w:rsid w:val="00747559"/>
    <w:rsid w:val="00750F54"/>
    <w:rsid w:val="00756060"/>
    <w:rsid w:val="00756FB1"/>
    <w:rsid w:val="00760383"/>
    <w:rsid w:val="0076138B"/>
    <w:rsid w:val="007715D1"/>
    <w:rsid w:val="00772166"/>
    <w:rsid w:val="0077461B"/>
    <w:rsid w:val="007803C9"/>
    <w:rsid w:val="007814A3"/>
    <w:rsid w:val="00781FAF"/>
    <w:rsid w:val="0078228C"/>
    <w:rsid w:val="007913D1"/>
    <w:rsid w:val="0079278B"/>
    <w:rsid w:val="00792B02"/>
    <w:rsid w:val="007932D9"/>
    <w:rsid w:val="00793C12"/>
    <w:rsid w:val="007A0044"/>
    <w:rsid w:val="007A3470"/>
    <w:rsid w:val="007B1AD8"/>
    <w:rsid w:val="007B42BF"/>
    <w:rsid w:val="007B5BF5"/>
    <w:rsid w:val="007B70D2"/>
    <w:rsid w:val="007C01A7"/>
    <w:rsid w:val="007C30EA"/>
    <w:rsid w:val="007C34E5"/>
    <w:rsid w:val="007C481C"/>
    <w:rsid w:val="007C4D42"/>
    <w:rsid w:val="007C58BC"/>
    <w:rsid w:val="007C7E5D"/>
    <w:rsid w:val="007D1B2D"/>
    <w:rsid w:val="007D2E3B"/>
    <w:rsid w:val="007D300C"/>
    <w:rsid w:val="007D5292"/>
    <w:rsid w:val="007E2D7F"/>
    <w:rsid w:val="007E3EA6"/>
    <w:rsid w:val="007E4297"/>
    <w:rsid w:val="007E48A8"/>
    <w:rsid w:val="007F2634"/>
    <w:rsid w:val="007F2853"/>
    <w:rsid w:val="007F2AE7"/>
    <w:rsid w:val="007F3249"/>
    <w:rsid w:val="007F5B9A"/>
    <w:rsid w:val="007F6158"/>
    <w:rsid w:val="00801EA7"/>
    <w:rsid w:val="008052F5"/>
    <w:rsid w:val="00805F0D"/>
    <w:rsid w:val="00806501"/>
    <w:rsid w:val="008075E7"/>
    <w:rsid w:val="00812254"/>
    <w:rsid w:val="008125E8"/>
    <w:rsid w:val="0081410B"/>
    <w:rsid w:val="008144C8"/>
    <w:rsid w:val="00815794"/>
    <w:rsid w:val="00816A30"/>
    <w:rsid w:val="00817149"/>
    <w:rsid w:val="0082593D"/>
    <w:rsid w:val="0082694B"/>
    <w:rsid w:val="008335BB"/>
    <w:rsid w:val="00836B40"/>
    <w:rsid w:val="00836CF0"/>
    <w:rsid w:val="00840692"/>
    <w:rsid w:val="00842331"/>
    <w:rsid w:val="00843DCA"/>
    <w:rsid w:val="008443EE"/>
    <w:rsid w:val="00845725"/>
    <w:rsid w:val="00845B67"/>
    <w:rsid w:val="0085039A"/>
    <w:rsid w:val="00851E2A"/>
    <w:rsid w:val="00852CF7"/>
    <w:rsid w:val="008532FD"/>
    <w:rsid w:val="00853A8F"/>
    <w:rsid w:val="00855B5D"/>
    <w:rsid w:val="00856A05"/>
    <w:rsid w:val="008652DE"/>
    <w:rsid w:val="00867C7E"/>
    <w:rsid w:val="00870B4C"/>
    <w:rsid w:val="00871BD6"/>
    <w:rsid w:val="00874B0B"/>
    <w:rsid w:val="00884918"/>
    <w:rsid w:val="00885E8E"/>
    <w:rsid w:val="008913E6"/>
    <w:rsid w:val="0089174E"/>
    <w:rsid w:val="00892173"/>
    <w:rsid w:val="00894F9B"/>
    <w:rsid w:val="008A0B3F"/>
    <w:rsid w:val="008A0ED1"/>
    <w:rsid w:val="008A1BFC"/>
    <w:rsid w:val="008A2244"/>
    <w:rsid w:val="008A6EB2"/>
    <w:rsid w:val="008B52DC"/>
    <w:rsid w:val="008C2024"/>
    <w:rsid w:val="008C3D1B"/>
    <w:rsid w:val="008C7560"/>
    <w:rsid w:val="008D2A0B"/>
    <w:rsid w:val="008D4F5A"/>
    <w:rsid w:val="008E0C78"/>
    <w:rsid w:val="008E1308"/>
    <w:rsid w:val="008E367E"/>
    <w:rsid w:val="008E6CDB"/>
    <w:rsid w:val="008E7248"/>
    <w:rsid w:val="008F082D"/>
    <w:rsid w:val="00902FCD"/>
    <w:rsid w:val="0090367E"/>
    <w:rsid w:val="0090476E"/>
    <w:rsid w:val="00904BFF"/>
    <w:rsid w:val="00904F8A"/>
    <w:rsid w:val="00906F49"/>
    <w:rsid w:val="00907227"/>
    <w:rsid w:val="00912B36"/>
    <w:rsid w:val="0092147A"/>
    <w:rsid w:val="00926E86"/>
    <w:rsid w:val="0093001C"/>
    <w:rsid w:val="009308EE"/>
    <w:rsid w:val="009335CC"/>
    <w:rsid w:val="0093491D"/>
    <w:rsid w:val="0093788D"/>
    <w:rsid w:val="0094109D"/>
    <w:rsid w:val="00942880"/>
    <w:rsid w:val="0094569E"/>
    <w:rsid w:val="009476A0"/>
    <w:rsid w:val="0095304C"/>
    <w:rsid w:val="00954AC9"/>
    <w:rsid w:val="0095760A"/>
    <w:rsid w:val="009600EA"/>
    <w:rsid w:val="00962B74"/>
    <w:rsid w:val="009630BB"/>
    <w:rsid w:val="0096410C"/>
    <w:rsid w:val="00965F5C"/>
    <w:rsid w:val="00965F9D"/>
    <w:rsid w:val="0097070E"/>
    <w:rsid w:val="00971727"/>
    <w:rsid w:val="00971BA8"/>
    <w:rsid w:val="00971E61"/>
    <w:rsid w:val="00974081"/>
    <w:rsid w:val="0097499C"/>
    <w:rsid w:val="009755F0"/>
    <w:rsid w:val="00977307"/>
    <w:rsid w:val="0098135B"/>
    <w:rsid w:val="00983E48"/>
    <w:rsid w:val="009861CC"/>
    <w:rsid w:val="00987A22"/>
    <w:rsid w:val="0099030F"/>
    <w:rsid w:val="00990D1E"/>
    <w:rsid w:val="00991B6A"/>
    <w:rsid w:val="009920DC"/>
    <w:rsid w:val="009931E0"/>
    <w:rsid w:val="0099792A"/>
    <w:rsid w:val="009A077D"/>
    <w:rsid w:val="009A14A9"/>
    <w:rsid w:val="009A2084"/>
    <w:rsid w:val="009A20FB"/>
    <w:rsid w:val="009A26D8"/>
    <w:rsid w:val="009A4181"/>
    <w:rsid w:val="009A4522"/>
    <w:rsid w:val="009A45DE"/>
    <w:rsid w:val="009A4DE2"/>
    <w:rsid w:val="009A5771"/>
    <w:rsid w:val="009A674B"/>
    <w:rsid w:val="009B101B"/>
    <w:rsid w:val="009B2B16"/>
    <w:rsid w:val="009B2F82"/>
    <w:rsid w:val="009B39A7"/>
    <w:rsid w:val="009B43E4"/>
    <w:rsid w:val="009C0FC3"/>
    <w:rsid w:val="009C5E1F"/>
    <w:rsid w:val="009C622C"/>
    <w:rsid w:val="009C7C1B"/>
    <w:rsid w:val="009D0059"/>
    <w:rsid w:val="009D681C"/>
    <w:rsid w:val="009E0DB4"/>
    <w:rsid w:val="009E542B"/>
    <w:rsid w:val="009E65B3"/>
    <w:rsid w:val="009E6C13"/>
    <w:rsid w:val="009F2028"/>
    <w:rsid w:val="009F2D3F"/>
    <w:rsid w:val="009F2EDF"/>
    <w:rsid w:val="009F70CF"/>
    <w:rsid w:val="009F7867"/>
    <w:rsid w:val="009F788C"/>
    <w:rsid w:val="00A0084C"/>
    <w:rsid w:val="00A02567"/>
    <w:rsid w:val="00A048B2"/>
    <w:rsid w:val="00A05828"/>
    <w:rsid w:val="00A06781"/>
    <w:rsid w:val="00A06F1F"/>
    <w:rsid w:val="00A06FDE"/>
    <w:rsid w:val="00A073F0"/>
    <w:rsid w:val="00A07C9D"/>
    <w:rsid w:val="00A1040A"/>
    <w:rsid w:val="00A1225B"/>
    <w:rsid w:val="00A145C9"/>
    <w:rsid w:val="00A16306"/>
    <w:rsid w:val="00A1639D"/>
    <w:rsid w:val="00A169C5"/>
    <w:rsid w:val="00A2334D"/>
    <w:rsid w:val="00A309DD"/>
    <w:rsid w:val="00A31615"/>
    <w:rsid w:val="00A32268"/>
    <w:rsid w:val="00A3313C"/>
    <w:rsid w:val="00A33D30"/>
    <w:rsid w:val="00A355F7"/>
    <w:rsid w:val="00A43844"/>
    <w:rsid w:val="00A44005"/>
    <w:rsid w:val="00A4658F"/>
    <w:rsid w:val="00A502B6"/>
    <w:rsid w:val="00A5045E"/>
    <w:rsid w:val="00A50943"/>
    <w:rsid w:val="00A51351"/>
    <w:rsid w:val="00A525FD"/>
    <w:rsid w:val="00A52E8B"/>
    <w:rsid w:val="00A5301F"/>
    <w:rsid w:val="00A531AA"/>
    <w:rsid w:val="00A549A3"/>
    <w:rsid w:val="00A5740A"/>
    <w:rsid w:val="00A57A05"/>
    <w:rsid w:val="00A6031B"/>
    <w:rsid w:val="00A609EC"/>
    <w:rsid w:val="00A70F63"/>
    <w:rsid w:val="00A71197"/>
    <w:rsid w:val="00A72F2D"/>
    <w:rsid w:val="00A74260"/>
    <w:rsid w:val="00A74C2F"/>
    <w:rsid w:val="00A75217"/>
    <w:rsid w:val="00A77575"/>
    <w:rsid w:val="00A83294"/>
    <w:rsid w:val="00A8515B"/>
    <w:rsid w:val="00A85278"/>
    <w:rsid w:val="00A85325"/>
    <w:rsid w:val="00A87FD4"/>
    <w:rsid w:val="00A92CFF"/>
    <w:rsid w:val="00A93285"/>
    <w:rsid w:val="00A93E85"/>
    <w:rsid w:val="00A9464F"/>
    <w:rsid w:val="00A97C9A"/>
    <w:rsid w:val="00AA0508"/>
    <w:rsid w:val="00AA0899"/>
    <w:rsid w:val="00AA235B"/>
    <w:rsid w:val="00AA5B43"/>
    <w:rsid w:val="00AB094A"/>
    <w:rsid w:val="00AB31F2"/>
    <w:rsid w:val="00AB3909"/>
    <w:rsid w:val="00AB521C"/>
    <w:rsid w:val="00AB6D49"/>
    <w:rsid w:val="00AB6DDC"/>
    <w:rsid w:val="00AC1652"/>
    <w:rsid w:val="00AC1B8F"/>
    <w:rsid w:val="00AC2A99"/>
    <w:rsid w:val="00AC2CEA"/>
    <w:rsid w:val="00AC4324"/>
    <w:rsid w:val="00AC52D0"/>
    <w:rsid w:val="00AC5A4D"/>
    <w:rsid w:val="00AD104C"/>
    <w:rsid w:val="00AD2B8D"/>
    <w:rsid w:val="00AD519D"/>
    <w:rsid w:val="00AD7D67"/>
    <w:rsid w:val="00AE16B2"/>
    <w:rsid w:val="00AE17C4"/>
    <w:rsid w:val="00AE2CD8"/>
    <w:rsid w:val="00AE3EE2"/>
    <w:rsid w:val="00AE6F81"/>
    <w:rsid w:val="00AE7E6E"/>
    <w:rsid w:val="00AF0BF9"/>
    <w:rsid w:val="00AF2377"/>
    <w:rsid w:val="00AF2444"/>
    <w:rsid w:val="00B04762"/>
    <w:rsid w:val="00B05D72"/>
    <w:rsid w:val="00B064CB"/>
    <w:rsid w:val="00B06988"/>
    <w:rsid w:val="00B11BB0"/>
    <w:rsid w:val="00B14965"/>
    <w:rsid w:val="00B17124"/>
    <w:rsid w:val="00B216FC"/>
    <w:rsid w:val="00B231BF"/>
    <w:rsid w:val="00B24775"/>
    <w:rsid w:val="00B301B5"/>
    <w:rsid w:val="00B30C40"/>
    <w:rsid w:val="00B31064"/>
    <w:rsid w:val="00B324BF"/>
    <w:rsid w:val="00B37776"/>
    <w:rsid w:val="00B40B80"/>
    <w:rsid w:val="00B4167B"/>
    <w:rsid w:val="00B511ED"/>
    <w:rsid w:val="00B5283B"/>
    <w:rsid w:val="00B5589A"/>
    <w:rsid w:val="00B56246"/>
    <w:rsid w:val="00B634CF"/>
    <w:rsid w:val="00B66B7F"/>
    <w:rsid w:val="00B66BDE"/>
    <w:rsid w:val="00B67B5C"/>
    <w:rsid w:val="00B761E2"/>
    <w:rsid w:val="00B7774F"/>
    <w:rsid w:val="00B81B79"/>
    <w:rsid w:val="00B8308A"/>
    <w:rsid w:val="00B83141"/>
    <w:rsid w:val="00B8452D"/>
    <w:rsid w:val="00B84716"/>
    <w:rsid w:val="00B86628"/>
    <w:rsid w:val="00B86B91"/>
    <w:rsid w:val="00B95405"/>
    <w:rsid w:val="00B96347"/>
    <w:rsid w:val="00B96EF1"/>
    <w:rsid w:val="00BA18A9"/>
    <w:rsid w:val="00BA7258"/>
    <w:rsid w:val="00BB05F2"/>
    <w:rsid w:val="00BB63CC"/>
    <w:rsid w:val="00BB7C64"/>
    <w:rsid w:val="00BC4DD1"/>
    <w:rsid w:val="00BC56DE"/>
    <w:rsid w:val="00BD0227"/>
    <w:rsid w:val="00BD524F"/>
    <w:rsid w:val="00BD766C"/>
    <w:rsid w:val="00BE3CEB"/>
    <w:rsid w:val="00BE444E"/>
    <w:rsid w:val="00BE4A36"/>
    <w:rsid w:val="00BE624D"/>
    <w:rsid w:val="00BF08AC"/>
    <w:rsid w:val="00BF1EBD"/>
    <w:rsid w:val="00BF7F25"/>
    <w:rsid w:val="00C00952"/>
    <w:rsid w:val="00C00DDB"/>
    <w:rsid w:val="00C03FE9"/>
    <w:rsid w:val="00C041C8"/>
    <w:rsid w:val="00C057D9"/>
    <w:rsid w:val="00C07916"/>
    <w:rsid w:val="00C07A21"/>
    <w:rsid w:val="00C124CA"/>
    <w:rsid w:val="00C12B77"/>
    <w:rsid w:val="00C14B02"/>
    <w:rsid w:val="00C1629D"/>
    <w:rsid w:val="00C17E1E"/>
    <w:rsid w:val="00C201F9"/>
    <w:rsid w:val="00C218BC"/>
    <w:rsid w:val="00C233DB"/>
    <w:rsid w:val="00C23E43"/>
    <w:rsid w:val="00C23E61"/>
    <w:rsid w:val="00C26E58"/>
    <w:rsid w:val="00C2759B"/>
    <w:rsid w:val="00C31636"/>
    <w:rsid w:val="00C3409B"/>
    <w:rsid w:val="00C34CBD"/>
    <w:rsid w:val="00C43EFA"/>
    <w:rsid w:val="00C50F93"/>
    <w:rsid w:val="00C6316C"/>
    <w:rsid w:val="00C63933"/>
    <w:rsid w:val="00C63C8E"/>
    <w:rsid w:val="00C7114A"/>
    <w:rsid w:val="00C72492"/>
    <w:rsid w:val="00C74E6C"/>
    <w:rsid w:val="00C75A42"/>
    <w:rsid w:val="00C768BD"/>
    <w:rsid w:val="00C771B3"/>
    <w:rsid w:val="00C825A9"/>
    <w:rsid w:val="00C866AC"/>
    <w:rsid w:val="00CB3A56"/>
    <w:rsid w:val="00CB750C"/>
    <w:rsid w:val="00CD17FB"/>
    <w:rsid w:val="00CD1BE5"/>
    <w:rsid w:val="00CD5735"/>
    <w:rsid w:val="00CD6EFE"/>
    <w:rsid w:val="00CD7C5A"/>
    <w:rsid w:val="00CE5F52"/>
    <w:rsid w:val="00CE7ADE"/>
    <w:rsid w:val="00CF1E12"/>
    <w:rsid w:val="00CF3E31"/>
    <w:rsid w:val="00D00697"/>
    <w:rsid w:val="00D04274"/>
    <w:rsid w:val="00D06775"/>
    <w:rsid w:val="00D12C8A"/>
    <w:rsid w:val="00D1357A"/>
    <w:rsid w:val="00D13D9B"/>
    <w:rsid w:val="00D2026B"/>
    <w:rsid w:val="00D227CA"/>
    <w:rsid w:val="00D230FD"/>
    <w:rsid w:val="00D23114"/>
    <w:rsid w:val="00D24BAE"/>
    <w:rsid w:val="00D266E8"/>
    <w:rsid w:val="00D313AC"/>
    <w:rsid w:val="00D31B3C"/>
    <w:rsid w:val="00D325C5"/>
    <w:rsid w:val="00D36280"/>
    <w:rsid w:val="00D432F8"/>
    <w:rsid w:val="00D479AC"/>
    <w:rsid w:val="00D514DE"/>
    <w:rsid w:val="00D5194F"/>
    <w:rsid w:val="00D54CC4"/>
    <w:rsid w:val="00D55C50"/>
    <w:rsid w:val="00D63D7F"/>
    <w:rsid w:val="00D64103"/>
    <w:rsid w:val="00D72189"/>
    <w:rsid w:val="00D802B8"/>
    <w:rsid w:val="00D803D5"/>
    <w:rsid w:val="00D818A9"/>
    <w:rsid w:val="00D82182"/>
    <w:rsid w:val="00D82416"/>
    <w:rsid w:val="00D8273D"/>
    <w:rsid w:val="00D83338"/>
    <w:rsid w:val="00D835CE"/>
    <w:rsid w:val="00D838D8"/>
    <w:rsid w:val="00D83DF0"/>
    <w:rsid w:val="00D8514B"/>
    <w:rsid w:val="00D91269"/>
    <w:rsid w:val="00D9129F"/>
    <w:rsid w:val="00D94ABB"/>
    <w:rsid w:val="00DA0944"/>
    <w:rsid w:val="00DA3CCE"/>
    <w:rsid w:val="00DA3F78"/>
    <w:rsid w:val="00DA6E96"/>
    <w:rsid w:val="00DB3A3B"/>
    <w:rsid w:val="00DB56E0"/>
    <w:rsid w:val="00DB5AFE"/>
    <w:rsid w:val="00DB5D64"/>
    <w:rsid w:val="00DB6E9E"/>
    <w:rsid w:val="00DC0F1F"/>
    <w:rsid w:val="00DC38FC"/>
    <w:rsid w:val="00DC4459"/>
    <w:rsid w:val="00DC5AFB"/>
    <w:rsid w:val="00DC61E0"/>
    <w:rsid w:val="00DC683F"/>
    <w:rsid w:val="00DC6B6D"/>
    <w:rsid w:val="00DD068C"/>
    <w:rsid w:val="00DD2004"/>
    <w:rsid w:val="00DD238B"/>
    <w:rsid w:val="00DD23A6"/>
    <w:rsid w:val="00DD2610"/>
    <w:rsid w:val="00DD3697"/>
    <w:rsid w:val="00DD3A0E"/>
    <w:rsid w:val="00DD5899"/>
    <w:rsid w:val="00DD6F58"/>
    <w:rsid w:val="00DE14FD"/>
    <w:rsid w:val="00DE331F"/>
    <w:rsid w:val="00DE3D64"/>
    <w:rsid w:val="00DE40DA"/>
    <w:rsid w:val="00DE5889"/>
    <w:rsid w:val="00DE6583"/>
    <w:rsid w:val="00DF0410"/>
    <w:rsid w:val="00DF156D"/>
    <w:rsid w:val="00DF2216"/>
    <w:rsid w:val="00DF43D2"/>
    <w:rsid w:val="00DF536A"/>
    <w:rsid w:val="00DF6D33"/>
    <w:rsid w:val="00E02362"/>
    <w:rsid w:val="00E050DE"/>
    <w:rsid w:val="00E0615D"/>
    <w:rsid w:val="00E0755D"/>
    <w:rsid w:val="00E10794"/>
    <w:rsid w:val="00E10A7B"/>
    <w:rsid w:val="00E13495"/>
    <w:rsid w:val="00E13CB4"/>
    <w:rsid w:val="00E21CEE"/>
    <w:rsid w:val="00E21EBF"/>
    <w:rsid w:val="00E22D66"/>
    <w:rsid w:val="00E23356"/>
    <w:rsid w:val="00E26691"/>
    <w:rsid w:val="00E32FDC"/>
    <w:rsid w:val="00E35071"/>
    <w:rsid w:val="00E35431"/>
    <w:rsid w:val="00E36F0C"/>
    <w:rsid w:val="00E37908"/>
    <w:rsid w:val="00E44902"/>
    <w:rsid w:val="00E519DE"/>
    <w:rsid w:val="00E6498E"/>
    <w:rsid w:val="00E65C49"/>
    <w:rsid w:val="00E71871"/>
    <w:rsid w:val="00E71A96"/>
    <w:rsid w:val="00E71B14"/>
    <w:rsid w:val="00E72787"/>
    <w:rsid w:val="00E72A5A"/>
    <w:rsid w:val="00E72A97"/>
    <w:rsid w:val="00E75FCB"/>
    <w:rsid w:val="00E772AD"/>
    <w:rsid w:val="00E815AE"/>
    <w:rsid w:val="00E815D6"/>
    <w:rsid w:val="00E81A54"/>
    <w:rsid w:val="00E84276"/>
    <w:rsid w:val="00E91F4A"/>
    <w:rsid w:val="00E92B29"/>
    <w:rsid w:val="00E9507F"/>
    <w:rsid w:val="00E95478"/>
    <w:rsid w:val="00EA5374"/>
    <w:rsid w:val="00EA6D74"/>
    <w:rsid w:val="00EA78F4"/>
    <w:rsid w:val="00EB18C7"/>
    <w:rsid w:val="00EB51CA"/>
    <w:rsid w:val="00EB6B3D"/>
    <w:rsid w:val="00EB7873"/>
    <w:rsid w:val="00EC08AB"/>
    <w:rsid w:val="00EC37E8"/>
    <w:rsid w:val="00EC4781"/>
    <w:rsid w:val="00EC669D"/>
    <w:rsid w:val="00EC6CEB"/>
    <w:rsid w:val="00EC705C"/>
    <w:rsid w:val="00EC77F0"/>
    <w:rsid w:val="00ED08E0"/>
    <w:rsid w:val="00ED2B54"/>
    <w:rsid w:val="00ED3F4C"/>
    <w:rsid w:val="00ED4435"/>
    <w:rsid w:val="00ED4828"/>
    <w:rsid w:val="00ED7D37"/>
    <w:rsid w:val="00EE0497"/>
    <w:rsid w:val="00EE282C"/>
    <w:rsid w:val="00EE2A02"/>
    <w:rsid w:val="00EE5D5C"/>
    <w:rsid w:val="00EE6C0C"/>
    <w:rsid w:val="00EE7884"/>
    <w:rsid w:val="00EF2E2D"/>
    <w:rsid w:val="00EF31B6"/>
    <w:rsid w:val="00EF5229"/>
    <w:rsid w:val="00EF563D"/>
    <w:rsid w:val="00F010BD"/>
    <w:rsid w:val="00F02979"/>
    <w:rsid w:val="00F0354F"/>
    <w:rsid w:val="00F043FC"/>
    <w:rsid w:val="00F05AB8"/>
    <w:rsid w:val="00F125E3"/>
    <w:rsid w:val="00F15EA6"/>
    <w:rsid w:val="00F168FC"/>
    <w:rsid w:val="00F1695E"/>
    <w:rsid w:val="00F178F5"/>
    <w:rsid w:val="00F21D43"/>
    <w:rsid w:val="00F222D0"/>
    <w:rsid w:val="00F23CE1"/>
    <w:rsid w:val="00F240D7"/>
    <w:rsid w:val="00F24180"/>
    <w:rsid w:val="00F308BB"/>
    <w:rsid w:val="00F33933"/>
    <w:rsid w:val="00F35C09"/>
    <w:rsid w:val="00F416C4"/>
    <w:rsid w:val="00F46AFB"/>
    <w:rsid w:val="00F5060B"/>
    <w:rsid w:val="00F50AF6"/>
    <w:rsid w:val="00F50BFB"/>
    <w:rsid w:val="00F51701"/>
    <w:rsid w:val="00F53764"/>
    <w:rsid w:val="00F53907"/>
    <w:rsid w:val="00F539E8"/>
    <w:rsid w:val="00F54642"/>
    <w:rsid w:val="00F5475A"/>
    <w:rsid w:val="00F70007"/>
    <w:rsid w:val="00F712F3"/>
    <w:rsid w:val="00F73EA6"/>
    <w:rsid w:val="00F7464D"/>
    <w:rsid w:val="00F81589"/>
    <w:rsid w:val="00F85F30"/>
    <w:rsid w:val="00F9520B"/>
    <w:rsid w:val="00FA14FE"/>
    <w:rsid w:val="00FA4D98"/>
    <w:rsid w:val="00FA6201"/>
    <w:rsid w:val="00FB4711"/>
    <w:rsid w:val="00FB70EE"/>
    <w:rsid w:val="00FB7A2D"/>
    <w:rsid w:val="00FB7F45"/>
    <w:rsid w:val="00FC1B98"/>
    <w:rsid w:val="00FC2E08"/>
    <w:rsid w:val="00FC43FE"/>
    <w:rsid w:val="00FC75D0"/>
    <w:rsid w:val="00FC7877"/>
    <w:rsid w:val="00FD1775"/>
    <w:rsid w:val="00FD2F5D"/>
    <w:rsid w:val="00FD3643"/>
    <w:rsid w:val="00FD3960"/>
    <w:rsid w:val="00FD3D62"/>
    <w:rsid w:val="00FD6123"/>
    <w:rsid w:val="00FE22EA"/>
    <w:rsid w:val="00FE37BE"/>
    <w:rsid w:val="00FE3AC8"/>
    <w:rsid w:val="00FE4B79"/>
    <w:rsid w:val="00FE61B1"/>
    <w:rsid w:val="00FF0D11"/>
    <w:rsid w:val="00FF16FA"/>
    <w:rsid w:val="00FF2BE3"/>
    <w:rsid w:val="00FF3740"/>
    <w:rsid w:val="00FF404F"/>
    <w:rsid w:val="05163282"/>
    <w:rsid w:val="05C17B88"/>
    <w:rsid w:val="060E67EB"/>
    <w:rsid w:val="08355B4B"/>
    <w:rsid w:val="0BA346DD"/>
    <w:rsid w:val="0C670ADD"/>
    <w:rsid w:val="0C8338A4"/>
    <w:rsid w:val="0DC00F4F"/>
    <w:rsid w:val="0E68782A"/>
    <w:rsid w:val="15AA7178"/>
    <w:rsid w:val="15F956E2"/>
    <w:rsid w:val="165741AC"/>
    <w:rsid w:val="18FC4189"/>
    <w:rsid w:val="19204C3B"/>
    <w:rsid w:val="19F3484D"/>
    <w:rsid w:val="1ACB5A83"/>
    <w:rsid w:val="1DDA3FD6"/>
    <w:rsid w:val="1E207DF9"/>
    <w:rsid w:val="1E7C7F1B"/>
    <w:rsid w:val="20E47779"/>
    <w:rsid w:val="2240142D"/>
    <w:rsid w:val="23EA6B7C"/>
    <w:rsid w:val="24C76E21"/>
    <w:rsid w:val="257135D4"/>
    <w:rsid w:val="27471F45"/>
    <w:rsid w:val="27D259FA"/>
    <w:rsid w:val="291A25EF"/>
    <w:rsid w:val="299C4A8F"/>
    <w:rsid w:val="2A517F33"/>
    <w:rsid w:val="2AFD7211"/>
    <w:rsid w:val="2EEB6D75"/>
    <w:rsid w:val="321224CA"/>
    <w:rsid w:val="32897375"/>
    <w:rsid w:val="34215660"/>
    <w:rsid w:val="34671CEF"/>
    <w:rsid w:val="362F25EA"/>
    <w:rsid w:val="37DF77CE"/>
    <w:rsid w:val="385A4984"/>
    <w:rsid w:val="38884700"/>
    <w:rsid w:val="3CCB47DA"/>
    <w:rsid w:val="3D357B4F"/>
    <w:rsid w:val="3D364C46"/>
    <w:rsid w:val="3DD875A6"/>
    <w:rsid w:val="41237F35"/>
    <w:rsid w:val="42475DAE"/>
    <w:rsid w:val="45D952F7"/>
    <w:rsid w:val="4CC44FC8"/>
    <w:rsid w:val="4D711B94"/>
    <w:rsid w:val="4E384E7A"/>
    <w:rsid w:val="4FAE769B"/>
    <w:rsid w:val="4FB86214"/>
    <w:rsid w:val="4FD127E4"/>
    <w:rsid w:val="50693B19"/>
    <w:rsid w:val="51327E15"/>
    <w:rsid w:val="5236009B"/>
    <w:rsid w:val="52A465B4"/>
    <w:rsid w:val="551D39A7"/>
    <w:rsid w:val="55767F5C"/>
    <w:rsid w:val="55832FD6"/>
    <w:rsid w:val="55E34937"/>
    <w:rsid w:val="5652138E"/>
    <w:rsid w:val="5BC6791C"/>
    <w:rsid w:val="5C440B7A"/>
    <w:rsid w:val="62095BAE"/>
    <w:rsid w:val="622A170C"/>
    <w:rsid w:val="62DB6561"/>
    <w:rsid w:val="65070EEA"/>
    <w:rsid w:val="65883ABF"/>
    <w:rsid w:val="65C139A6"/>
    <w:rsid w:val="65FB2586"/>
    <w:rsid w:val="69C96631"/>
    <w:rsid w:val="6ABD5D58"/>
    <w:rsid w:val="6CF67C27"/>
    <w:rsid w:val="6D535020"/>
    <w:rsid w:val="70186A4D"/>
    <w:rsid w:val="724B19FD"/>
    <w:rsid w:val="72D85012"/>
    <w:rsid w:val="75790580"/>
    <w:rsid w:val="762E3858"/>
    <w:rsid w:val="7B856980"/>
    <w:rsid w:val="7B895DB5"/>
    <w:rsid w:val="7BB30702"/>
    <w:rsid w:val="7D053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3">
    <w:name w:val="heading 2"/>
    <w:basedOn w:val="1"/>
    <w:next w:val="4"/>
    <w:autoRedefine/>
    <w:qFormat/>
    <w:uiPriority w:val="0"/>
    <w:pPr>
      <w:keepNext/>
      <w:keepLines/>
      <w:tabs>
        <w:tab w:val="left" w:pos="0"/>
      </w:tabs>
      <w:spacing w:before="50"/>
      <w:jc w:val="left"/>
      <w:outlineLvl w:val="1"/>
    </w:pPr>
    <w:rPr>
      <w:rFonts w:ascii="Arial" w:hAnsi="Arial" w:eastAsia="黑体"/>
      <w:kern w:val="0"/>
      <w:sz w:val="32"/>
      <w:szCs w:val="20"/>
    </w:rPr>
  </w:style>
  <w:style w:type="paragraph" w:styleId="6">
    <w:name w:val="heading 3"/>
    <w:basedOn w:val="1"/>
    <w:next w:val="1"/>
    <w:link w:val="49"/>
    <w:autoRedefine/>
    <w:unhideWhenUsed/>
    <w:qFormat/>
    <w:uiPriority w:val="0"/>
    <w:pPr>
      <w:keepNext/>
      <w:keepLines/>
      <w:spacing w:before="260" w:after="260" w:line="416" w:lineRule="auto"/>
      <w:jc w:val="center"/>
      <w:outlineLvl w:val="2"/>
    </w:pPr>
    <w:rPr>
      <w:b/>
      <w:bCs/>
      <w:sz w:val="32"/>
      <w:szCs w:val="32"/>
    </w:rPr>
  </w:style>
  <w:style w:type="character" w:default="1" w:styleId="24">
    <w:name w:val="Default Paragraph Font"/>
    <w:semiHidden/>
    <w:unhideWhenUsed/>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4">
    <w:name w:val="Í¼±íÕýÎÄ"/>
    <w:basedOn w:val="1"/>
    <w:next w:val="5"/>
    <w:autoRedefine/>
    <w:qFormat/>
    <w:uiPriority w:val="0"/>
    <w:pPr>
      <w:ind w:firstLine="420" w:firstLineChars="200"/>
    </w:pPr>
    <w:rPr>
      <w:sz w:val="24"/>
      <w:szCs w:val="20"/>
    </w:rPr>
  </w:style>
  <w:style w:type="paragraph" w:styleId="5">
    <w:name w:val="Normal Indent"/>
    <w:basedOn w:val="1"/>
    <w:link w:val="36"/>
    <w:autoRedefine/>
    <w:qFormat/>
    <w:uiPriority w:val="0"/>
    <w:pPr>
      <w:ind w:firstLine="420" w:firstLineChars="200"/>
    </w:pPr>
    <w:rPr>
      <w:rFonts w:ascii="Calibri" w:hAnsi="Calibri"/>
      <w:kern w:val="0"/>
      <w:sz w:val="24"/>
      <w:szCs w:val="20"/>
    </w:rPr>
  </w:style>
  <w:style w:type="paragraph" w:styleId="7">
    <w:name w:val="Document Map"/>
    <w:basedOn w:val="1"/>
    <w:link w:val="72"/>
    <w:autoRedefine/>
    <w:semiHidden/>
    <w:unhideWhenUsed/>
    <w:qFormat/>
    <w:uiPriority w:val="0"/>
    <w:rPr>
      <w:rFonts w:ascii="宋体"/>
      <w:sz w:val="18"/>
      <w:szCs w:val="18"/>
    </w:rPr>
  </w:style>
  <w:style w:type="paragraph" w:styleId="8">
    <w:name w:val="annotation text"/>
    <w:basedOn w:val="1"/>
    <w:link w:val="29"/>
    <w:autoRedefine/>
    <w:qFormat/>
    <w:uiPriority w:val="0"/>
    <w:pPr>
      <w:jc w:val="left"/>
    </w:pPr>
  </w:style>
  <w:style w:type="paragraph" w:styleId="9">
    <w:name w:val="Body Text"/>
    <w:basedOn w:val="1"/>
    <w:link w:val="37"/>
    <w:autoRedefine/>
    <w:qFormat/>
    <w:uiPriority w:val="0"/>
    <w:pPr>
      <w:spacing w:after="120"/>
    </w:pPr>
    <w:rPr>
      <w:kern w:val="0"/>
      <w:sz w:val="20"/>
    </w:rPr>
  </w:style>
  <w:style w:type="paragraph" w:styleId="10">
    <w:name w:val="Body Text Indent"/>
    <w:basedOn w:val="1"/>
    <w:link w:val="70"/>
    <w:autoRedefine/>
    <w:unhideWhenUsed/>
    <w:qFormat/>
    <w:uiPriority w:val="99"/>
    <w:pPr>
      <w:spacing w:after="120"/>
      <w:ind w:left="420" w:leftChars="200"/>
    </w:pPr>
    <w:rPr>
      <w:szCs w:val="20"/>
    </w:rPr>
  </w:style>
  <w:style w:type="paragraph" w:styleId="11">
    <w:name w:val="Plain Text"/>
    <w:basedOn w:val="1"/>
    <w:link w:val="34"/>
    <w:autoRedefine/>
    <w:qFormat/>
    <w:uiPriority w:val="0"/>
    <w:rPr>
      <w:rFonts w:ascii="宋体" w:hAnsi="Courier New"/>
      <w:kern w:val="0"/>
      <w:sz w:val="20"/>
      <w:szCs w:val="20"/>
    </w:rPr>
  </w:style>
  <w:style w:type="paragraph" w:styleId="12">
    <w:name w:val="Body Text Indent 2"/>
    <w:basedOn w:val="1"/>
    <w:link w:val="42"/>
    <w:autoRedefine/>
    <w:qFormat/>
    <w:uiPriority w:val="0"/>
    <w:pPr>
      <w:spacing w:after="120" w:line="480" w:lineRule="auto"/>
      <w:ind w:left="420" w:leftChars="200"/>
    </w:pPr>
  </w:style>
  <w:style w:type="paragraph" w:styleId="13">
    <w:name w:val="Balloon Text"/>
    <w:basedOn w:val="1"/>
    <w:link w:val="31"/>
    <w:autoRedefine/>
    <w:qFormat/>
    <w:uiPriority w:val="0"/>
    <w:rPr>
      <w:sz w:val="18"/>
      <w:szCs w:val="18"/>
    </w:rPr>
  </w:style>
  <w:style w:type="paragraph" w:styleId="14">
    <w:name w:val="footer"/>
    <w:basedOn w:val="1"/>
    <w:link w:val="32"/>
    <w:autoRedefine/>
    <w:qFormat/>
    <w:uiPriority w:val="99"/>
    <w:pPr>
      <w:tabs>
        <w:tab w:val="center" w:pos="4153"/>
        <w:tab w:val="right" w:pos="8306"/>
      </w:tabs>
      <w:snapToGrid w:val="0"/>
      <w:jc w:val="left"/>
    </w:pPr>
    <w:rPr>
      <w:kern w:val="0"/>
      <w:sz w:val="18"/>
      <w:szCs w:val="18"/>
    </w:rPr>
  </w:style>
  <w:style w:type="paragraph" w:styleId="15">
    <w:name w:val="header"/>
    <w:basedOn w:val="1"/>
    <w:link w:val="67"/>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qFormat/>
    <w:uiPriority w:val="39"/>
    <w:pPr>
      <w:spacing w:before="120" w:after="120"/>
      <w:jc w:val="left"/>
    </w:pPr>
    <w:rPr>
      <w:b/>
      <w:bCs/>
      <w:caps/>
      <w:sz w:val="20"/>
      <w:szCs w:val="20"/>
    </w:rPr>
  </w:style>
  <w:style w:type="paragraph" w:styleId="17">
    <w:name w:val="Subtitle"/>
    <w:basedOn w:val="1"/>
    <w:next w:val="1"/>
    <w:link w:val="43"/>
    <w:qFormat/>
    <w:uiPriority w:val="99"/>
    <w:pPr>
      <w:spacing w:before="360" w:after="180" w:line="360" w:lineRule="auto"/>
      <w:jc w:val="left"/>
      <w:outlineLvl w:val="1"/>
    </w:pPr>
    <w:rPr>
      <w:rFonts w:ascii="Cambria" w:hAnsi="Cambria"/>
      <w:b/>
      <w:bCs/>
      <w:kern w:val="28"/>
      <w:sz w:val="24"/>
      <w:szCs w:val="32"/>
    </w:rPr>
  </w:style>
  <w:style w:type="paragraph" w:styleId="18">
    <w:name w:val="Body Text Indent 3"/>
    <w:basedOn w:val="1"/>
    <w:link w:val="71"/>
    <w:autoRedefine/>
    <w:semiHidden/>
    <w:unhideWhenUsed/>
    <w:qFormat/>
    <w:uiPriority w:val="0"/>
    <w:pPr>
      <w:spacing w:after="120"/>
      <w:ind w:left="420" w:leftChars="200"/>
    </w:pPr>
    <w:rPr>
      <w:sz w:val="16"/>
      <w:szCs w:val="16"/>
    </w:rPr>
  </w:style>
  <w:style w:type="paragraph" w:styleId="1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48"/>
    <w:autoRedefine/>
    <w:qFormat/>
    <w:uiPriority w:val="0"/>
    <w:pPr>
      <w:spacing w:before="240" w:after="60"/>
      <w:jc w:val="center"/>
      <w:outlineLvl w:val="0"/>
    </w:pPr>
    <w:rPr>
      <w:rFonts w:asciiTheme="majorHAnsi" w:hAnsiTheme="majorHAnsi" w:cstheme="majorBidi"/>
      <w:b/>
      <w:bCs/>
      <w:sz w:val="32"/>
      <w:szCs w:val="32"/>
    </w:rPr>
  </w:style>
  <w:style w:type="paragraph" w:styleId="21">
    <w:name w:val="annotation subject"/>
    <w:basedOn w:val="8"/>
    <w:next w:val="8"/>
    <w:link w:val="30"/>
    <w:autoRedefine/>
    <w:qFormat/>
    <w:uiPriority w:val="0"/>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style>
  <w:style w:type="character" w:styleId="26">
    <w:name w:val="Hyperlink"/>
    <w:autoRedefine/>
    <w:qFormat/>
    <w:uiPriority w:val="99"/>
    <w:rPr>
      <w:color w:val="0000FF"/>
      <w:u w:val="single"/>
    </w:rPr>
  </w:style>
  <w:style w:type="character" w:styleId="27">
    <w:name w:val="annotation reference"/>
    <w:basedOn w:val="24"/>
    <w:autoRedefine/>
    <w:qFormat/>
    <w:uiPriority w:val="0"/>
    <w:rPr>
      <w:sz w:val="21"/>
      <w:szCs w:val="21"/>
    </w:rPr>
  </w:style>
  <w:style w:type="paragraph" w:styleId="28">
    <w:name w:val="List Paragraph"/>
    <w:basedOn w:val="1"/>
    <w:link w:val="74"/>
    <w:autoRedefine/>
    <w:qFormat/>
    <w:uiPriority w:val="34"/>
    <w:pPr>
      <w:ind w:firstLine="420" w:firstLineChars="200"/>
    </w:pPr>
    <w:rPr>
      <w:rFonts w:ascii="Calibri" w:hAnsi="Calibri"/>
      <w:szCs w:val="22"/>
    </w:rPr>
  </w:style>
  <w:style w:type="character" w:customStyle="1" w:styleId="29">
    <w:name w:val="批注文字 字符"/>
    <w:basedOn w:val="24"/>
    <w:link w:val="8"/>
    <w:autoRedefine/>
    <w:qFormat/>
    <w:uiPriority w:val="0"/>
    <w:rPr>
      <w:kern w:val="2"/>
      <w:sz w:val="21"/>
      <w:szCs w:val="24"/>
    </w:rPr>
  </w:style>
  <w:style w:type="character" w:customStyle="1" w:styleId="30">
    <w:name w:val="批注主题 字符"/>
    <w:basedOn w:val="29"/>
    <w:link w:val="21"/>
    <w:qFormat/>
    <w:uiPriority w:val="0"/>
    <w:rPr>
      <w:b/>
      <w:bCs/>
      <w:kern w:val="2"/>
      <w:sz w:val="21"/>
      <w:szCs w:val="24"/>
    </w:rPr>
  </w:style>
  <w:style w:type="character" w:customStyle="1" w:styleId="31">
    <w:name w:val="批注框文本 字符"/>
    <w:basedOn w:val="24"/>
    <w:link w:val="13"/>
    <w:autoRedefine/>
    <w:qFormat/>
    <w:uiPriority w:val="0"/>
    <w:rPr>
      <w:kern w:val="2"/>
      <w:sz w:val="18"/>
      <w:szCs w:val="18"/>
    </w:rPr>
  </w:style>
  <w:style w:type="character" w:customStyle="1" w:styleId="32">
    <w:name w:val="页脚 字符"/>
    <w:basedOn w:val="24"/>
    <w:link w:val="14"/>
    <w:autoRedefine/>
    <w:qFormat/>
    <w:uiPriority w:val="99"/>
    <w:rPr>
      <w:sz w:val="18"/>
      <w:szCs w:val="18"/>
    </w:rPr>
  </w:style>
  <w:style w:type="character" w:customStyle="1" w:styleId="33">
    <w:name w:val="search-in-page-highlight-item"/>
    <w:basedOn w:val="24"/>
    <w:autoRedefine/>
    <w:qFormat/>
    <w:uiPriority w:val="0"/>
  </w:style>
  <w:style w:type="character" w:customStyle="1" w:styleId="34">
    <w:name w:val="纯文本 字符"/>
    <w:link w:val="11"/>
    <w:autoRedefine/>
    <w:qFormat/>
    <w:uiPriority w:val="0"/>
    <w:rPr>
      <w:rFonts w:ascii="宋体" w:hAnsi="Courier New"/>
    </w:rPr>
  </w:style>
  <w:style w:type="paragraph" w:customStyle="1" w:styleId="3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6">
    <w:name w:val="正文缩进 字符"/>
    <w:link w:val="5"/>
    <w:autoRedefine/>
    <w:qFormat/>
    <w:uiPriority w:val="0"/>
    <w:rPr>
      <w:sz w:val="24"/>
    </w:rPr>
  </w:style>
  <w:style w:type="character" w:customStyle="1" w:styleId="37">
    <w:name w:val="正文文本 字符"/>
    <w:link w:val="9"/>
    <w:autoRedefine/>
    <w:qFormat/>
    <w:uiPriority w:val="0"/>
    <w:rPr>
      <w:rFonts w:ascii="Times New Roman" w:hAnsi="Times New Roman"/>
      <w:szCs w:val="24"/>
    </w:rPr>
  </w:style>
  <w:style w:type="character" w:customStyle="1" w:styleId="38">
    <w:name w:val="正文文本 Char1"/>
    <w:basedOn w:val="24"/>
    <w:autoRedefine/>
    <w:qFormat/>
    <w:uiPriority w:val="0"/>
    <w:rPr>
      <w:rFonts w:ascii="Times New Roman" w:hAnsi="Times New Roman"/>
      <w:kern w:val="2"/>
      <w:sz w:val="21"/>
      <w:szCs w:val="24"/>
    </w:rPr>
  </w:style>
  <w:style w:type="character" w:customStyle="1" w:styleId="39">
    <w:name w:val="font31"/>
    <w:autoRedefine/>
    <w:qFormat/>
    <w:uiPriority w:val="0"/>
    <w:rPr>
      <w:rFonts w:hint="eastAsia" w:ascii="宋体" w:hAnsi="宋体" w:eastAsia="宋体" w:cs="宋体"/>
      <w:color w:val="000000"/>
      <w:sz w:val="20"/>
      <w:szCs w:val="20"/>
      <w:u w:val="none"/>
    </w:rPr>
  </w:style>
  <w:style w:type="character" w:customStyle="1" w:styleId="40">
    <w:name w:val="font11"/>
    <w:autoRedefine/>
    <w:qFormat/>
    <w:uiPriority w:val="0"/>
    <w:rPr>
      <w:rFonts w:hint="eastAsia" w:ascii="宋体" w:hAnsi="宋体" w:eastAsia="宋体" w:cs="宋体"/>
      <w:color w:val="FF0000"/>
      <w:sz w:val="20"/>
      <w:szCs w:val="20"/>
      <w:u w:val="none"/>
    </w:rPr>
  </w:style>
  <w:style w:type="paragraph" w:customStyle="1" w:styleId="41">
    <w:name w:val="正文 A"/>
    <w:autoRedefine/>
    <w:qFormat/>
    <w:uiPriority w:val="0"/>
    <w:pPr>
      <w:widowControl w:val="0"/>
      <w:jc w:val="both"/>
    </w:pPr>
    <w:rPr>
      <w:rFonts w:ascii="Calibri" w:hAnsi="Calibri" w:eastAsia="Times New Roman" w:cs="Times New Roman"/>
      <w:color w:val="000000"/>
      <w:kern w:val="2"/>
      <w:sz w:val="21"/>
      <w:szCs w:val="21"/>
      <w:u w:color="000000"/>
      <w:lang w:val="en-US" w:eastAsia="zh-CN" w:bidi="ar-SA"/>
    </w:rPr>
  </w:style>
  <w:style w:type="character" w:customStyle="1" w:styleId="42">
    <w:name w:val="正文文本缩进 2 字符"/>
    <w:basedOn w:val="24"/>
    <w:link w:val="12"/>
    <w:autoRedefine/>
    <w:qFormat/>
    <w:uiPriority w:val="0"/>
    <w:rPr>
      <w:rFonts w:ascii="Times New Roman" w:hAnsi="Times New Roman"/>
      <w:kern w:val="2"/>
      <w:sz w:val="21"/>
      <w:szCs w:val="24"/>
    </w:rPr>
  </w:style>
  <w:style w:type="character" w:customStyle="1" w:styleId="43">
    <w:name w:val="副标题 字符"/>
    <w:basedOn w:val="24"/>
    <w:link w:val="17"/>
    <w:autoRedefine/>
    <w:qFormat/>
    <w:uiPriority w:val="99"/>
    <w:rPr>
      <w:rFonts w:ascii="Cambria" w:hAnsi="Cambria"/>
      <w:b/>
      <w:bCs/>
      <w:kern w:val="28"/>
      <w:sz w:val="24"/>
      <w:szCs w:val="32"/>
    </w:rPr>
  </w:style>
  <w:style w:type="character" w:customStyle="1" w:styleId="44">
    <w:name w:val="_正文段落 Char"/>
    <w:link w:val="45"/>
    <w:autoRedefine/>
    <w:qFormat/>
    <w:uiPriority w:val="0"/>
    <w:rPr>
      <w:rFonts w:ascii="宋体" w:hAnsi="宋体"/>
      <w:sz w:val="24"/>
      <w:szCs w:val="24"/>
    </w:rPr>
  </w:style>
  <w:style w:type="paragraph" w:customStyle="1" w:styleId="45">
    <w:name w:val="_正文段落"/>
    <w:basedOn w:val="1"/>
    <w:link w:val="44"/>
    <w:autoRedefine/>
    <w:qFormat/>
    <w:uiPriority w:val="0"/>
    <w:pPr>
      <w:spacing w:beforeLines="15" w:afterLines="15" w:line="360" w:lineRule="auto"/>
      <w:ind w:firstLine="480" w:firstLineChars="200"/>
      <w:jc w:val="left"/>
    </w:pPr>
    <w:rPr>
      <w:rFonts w:ascii="宋体" w:hAnsi="宋体"/>
      <w:kern w:val="0"/>
      <w:sz w:val="24"/>
    </w:rPr>
  </w:style>
  <w:style w:type="paragraph" w:customStyle="1" w:styleId="46">
    <w:name w:val="正文＋小四＋缩进2字符"/>
    <w:basedOn w:val="1"/>
    <w:autoRedefine/>
    <w:qFormat/>
    <w:uiPriority w:val="0"/>
    <w:pPr>
      <w:widowControl/>
      <w:spacing w:line="360" w:lineRule="auto"/>
      <w:ind w:firstLine="200" w:firstLineChars="200"/>
      <w:jc w:val="left"/>
    </w:pPr>
    <w:rPr>
      <w:rFonts w:ascii="宋体" w:hAnsi="宋体"/>
      <w:kern w:val="0"/>
      <w:sz w:val="24"/>
      <w:szCs w:val="20"/>
    </w:rPr>
  </w:style>
  <w:style w:type="paragraph" w:customStyle="1" w:styleId="47">
    <w:name w:val="GP正文(首行缩进)"/>
    <w:basedOn w:val="1"/>
    <w:autoRedefine/>
    <w:qFormat/>
    <w:uiPriority w:val="0"/>
    <w:pPr>
      <w:jc w:val="left"/>
    </w:pPr>
    <w:rPr>
      <w:rFonts w:ascii="Calibri" w:hAnsi="Calibri"/>
      <w:szCs w:val="21"/>
    </w:rPr>
  </w:style>
  <w:style w:type="character" w:customStyle="1" w:styleId="48">
    <w:name w:val="标题 字符"/>
    <w:basedOn w:val="24"/>
    <w:link w:val="20"/>
    <w:autoRedefine/>
    <w:qFormat/>
    <w:uiPriority w:val="0"/>
    <w:rPr>
      <w:rFonts w:asciiTheme="majorHAnsi" w:hAnsiTheme="majorHAnsi" w:cstheme="majorBidi"/>
      <w:b/>
      <w:bCs/>
      <w:kern w:val="2"/>
      <w:sz w:val="32"/>
      <w:szCs w:val="32"/>
    </w:rPr>
  </w:style>
  <w:style w:type="character" w:customStyle="1" w:styleId="49">
    <w:name w:val="标题 3 字符"/>
    <w:basedOn w:val="24"/>
    <w:link w:val="6"/>
    <w:autoRedefine/>
    <w:qFormat/>
    <w:uiPriority w:val="0"/>
    <w:rPr>
      <w:rFonts w:ascii="Times New Roman" w:hAnsi="Times New Roman"/>
      <w:b/>
      <w:bCs/>
      <w:kern w:val="2"/>
      <w:sz w:val="32"/>
      <w:szCs w:val="32"/>
    </w:rPr>
  </w:style>
  <w:style w:type="character" w:customStyle="1" w:styleId="50">
    <w:name w:val="未处理的提及1"/>
    <w:basedOn w:val="24"/>
    <w:autoRedefine/>
    <w:semiHidden/>
    <w:unhideWhenUsed/>
    <w:qFormat/>
    <w:uiPriority w:val="99"/>
    <w:rPr>
      <w:color w:val="605E5C"/>
      <w:shd w:val="clear" w:color="auto" w:fill="E1DFDD"/>
    </w:rPr>
  </w:style>
  <w:style w:type="character" w:customStyle="1" w:styleId="51">
    <w:name w:val="正文缩进 字符2"/>
    <w:autoRedefine/>
    <w:qFormat/>
    <w:uiPriority w:val="0"/>
    <w:rPr>
      <w:sz w:val="24"/>
    </w:rPr>
  </w:style>
  <w:style w:type="character" w:customStyle="1" w:styleId="52">
    <w:name w:val="正文文本 字符2"/>
    <w:autoRedefine/>
    <w:qFormat/>
    <w:uiPriority w:val="0"/>
    <w:rPr>
      <w:rFonts w:ascii="Times New Roman" w:hAnsi="Times New Roman" w:eastAsia="宋体" w:cs="Times New Roman"/>
      <w:szCs w:val="24"/>
    </w:rPr>
  </w:style>
  <w:style w:type="character" w:customStyle="1" w:styleId="53">
    <w:name w:val="纯文本 字符1"/>
    <w:autoRedefine/>
    <w:qFormat/>
    <w:uiPriority w:val="0"/>
    <w:rPr>
      <w:rFonts w:ascii="宋体" w:hAnsi="Courier New" w:eastAsia="宋体" w:cs="Times New Roman"/>
      <w:szCs w:val="20"/>
    </w:rPr>
  </w:style>
  <w:style w:type="character" w:customStyle="1" w:styleId="54">
    <w:name w:val="☆ 正文 Char"/>
    <w:link w:val="55"/>
    <w:autoRedefine/>
    <w:qFormat/>
    <w:uiPriority w:val="0"/>
    <w:rPr>
      <w:kern w:val="2"/>
      <w:sz w:val="21"/>
      <w:szCs w:val="22"/>
    </w:rPr>
  </w:style>
  <w:style w:type="paragraph" w:customStyle="1" w:styleId="55">
    <w:name w:val="☆ 正文"/>
    <w:basedOn w:val="1"/>
    <w:link w:val="54"/>
    <w:autoRedefine/>
    <w:qFormat/>
    <w:uiPriority w:val="0"/>
    <w:rPr>
      <w:rFonts w:ascii="Calibri" w:hAnsi="Calibri"/>
      <w:szCs w:val="22"/>
    </w:rPr>
  </w:style>
  <w:style w:type="paragraph" w:customStyle="1" w:styleId="56">
    <w:name w:val="Default"/>
    <w:link w:val="6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7">
    <w:name w:val="列出段落 Char"/>
    <w:link w:val="58"/>
    <w:autoRedefine/>
    <w:qFormat/>
    <w:uiPriority w:val="34"/>
    <w:rPr>
      <w:kern w:val="2"/>
      <w:sz w:val="21"/>
      <w:szCs w:val="22"/>
    </w:rPr>
  </w:style>
  <w:style w:type="paragraph" w:customStyle="1" w:styleId="58">
    <w:name w:val="列出段落1"/>
    <w:basedOn w:val="1"/>
    <w:link w:val="57"/>
    <w:autoRedefine/>
    <w:qFormat/>
    <w:uiPriority w:val="99"/>
    <w:pPr>
      <w:ind w:firstLine="420" w:firstLineChars="200"/>
    </w:pPr>
    <w:rPr>
      <w:rFonts w:ascii="Calibri" w:hAnsi="Calibri"/>
      <w:szCs w:val="22"/>
    </w:rPr>
  </w:style>
  <w:style w:type="paragraph" w:customStyle="1" w:styleId="59">
    <w:name w:val="成文日期"/>
    <w:basedOn w:val="1"/>
    <w:link w:val="60"/>
    <w:autoRedefine/>
    <w:qFormat/>
    <w:uiPriority w:val="0"/>
    <w:pPr>
      <w:spacing w:line="570" w:lineRule="exact"/>
      <w:ind w:right="400" w:rightChars="400" w:firstLine="200" w:firstLineChars="200"/>
      <w:jc w:val="right"/>
    </w:pPr>
    <w:rPr>
      <w:rFonts w:ascii="仿宋_GB2312" w:eastAsia="仿宋_GB2312"/>
      <w:sz w:val="32"/>
      <w:szCs w:val="20"/>
    </w:rPr>
  </w:style>
  <w:style w:type="character" w:customStyle="1" w:styleId="60">
    <w:name w:val="成文日期 Char"/>
    <w:link w:val="59"/>
    <w:autoRedefine/>
    <w:qFormat/>
    <w:uiPriority w:val="0"/>
    <w:rPr>
      <w:rFonts w:ascii="仿宋_GB2312" w:hAnsi="Times New Roman" w:eastAsia="仿宋_GB2312"/>
      <w:kern w:val="2"/>
      <w:sz w:val="32"/>
    </w:rPr>
  </w:style>
  <w:style w:type="paragraph" w:customStyle="1" w:styleId="61">
    <w:name w:val="材料标题"/>
    <w:basedOn w:val="1"/>
    <w:link w:val="62"/>
    <w:autoRedefine/>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62">
    <w:name w:val="材料标题 Char"/>
    <w:link w:val="61"/>
    <w:autoRedefine/>
    <w:qFormat/>
    <w:uiPriority w:val="0"/>
    <w:rPr>
      <w:rFonts w:ascii="方正小标宋简体" w:hAnsi="Times New Roman" w:eastAsia="方正小标宋简体"/>
      <w:color w:val="000000"/>
      <w:kern w:val="2"/>
      <w:sz w:val="44"/>
      <w:szCs w:val="44"/>
    </w:rPr>
  </w:style>
  <w:style w:type="character" w:customStyle="1" w:styleId="63">
    <w:name w:val="Default Char"/>
    <w:link w:val="56"/>
    <w:autoRedefine/>
    <w:qFormat/>
    <w:uiPriority w:val="0"/>
    <w:rPr>
      <w:rFonts w:ascii="宋体" w:cs="宋体"/>
      <w:color w:val="000000"/>
      <w:sz w:val="24"/>
      <w:szCs w:val="24"/>
    </w:rPr>
  </w:style>
  <w:style w:type="character" w:customStyle="1" w:styleId="64">
    <w:name w:val="标题 Char1"/>
    <w:autoRedefine/>
    <w:qFormat/>
    <w:locked/>
    <w:uiPriority w:val="0"/>
    <w:rPr>
      <w:b/>
      <w:sz w:val="30"/>
    </w:rPr>
  </w:style>
  <w:style w:type="character" w:customStyle="1" w:styleId="65">
    <w:name w:val="已访问的超链接1"/>
    <w:autoRedefine/>
    <w:qFormat/>
    <w:uiPriority w:val="99"/>
    <w:rPr>
      <w:rFonts w:ascii="Times New Roman"/>
    </w:rPr>
  </w:style>
  <w:style w:type="character" w:customStyle="1" w:styleId="66">
    <w:name w:val="info1"/>
    <w:autoRedefine/>
    <w:qFormat/>
    <w:uiPriority w:val="99"/>
    <w:rPr>
      <w:sz w:val="29"/>
    </w:rPr>
  </w:style>
  <w:style w:type="character" w:customStyle="1" w:styleId="67">
    <w:name w:val="页眉 字符"/>
    <w:link w:val="15"/>
    <w:autoRedefine/>
    <w:qFormat/>
    <w:locked/>
    <w:uiPriority w:val="99"/>
    <w:rPr>
      <w:rFonts w:ascii="Times New Roman" w:hAnsi="Times New Roman"/>
      <w:sz w:val="18"/>
      <w:szCs w:val="18"/>
    </w:rPr>
  </w:style>
  <w:style w:type="character" w:customStyle="1" w:styleId="68">
    <w:name w:val="页脚 Char"/>
    <w:autoRedefine/>
    <w:qFormat/>
    <w:locked/>
    <w:uiPriority w:val="99"/>
    <w:rPr>
      <w:rFonts w:eastAsia="宋体"/>
      <w:kern w:val="2"/>
      <w:sz w:val="18"/>
      <w:lang w:val="en-US" w:eastAsia="zh-CN"/>
    </w:rPr>
  </w:style>
  <w:style w:type="character" w:customStyle="1" w:styleId="69">
    <w:name w:val="正文缩进 Char"/>
    <w:autoRedefine/>
    <w:qFormat/>
    <w:locked/>
    <w:uiPriority w:val="0"/>
    <w:rPr>
      <w:kern w:val="2"/>
      <w:sz w:val="24"/>
    </w:rPr>
  </w:style>
  <w:style w:type="character" w:customStyle="1" w:styleId="70">
    <w:name w:val="正文文本缩进 字符"/>
    <w:basedOn w:val="24"/>
    <w:link w:val="10"/>
    <w:autoRedefine/>
    <w:qFormat/>
    <w:uiPriority w:val="99"/>
    <w:rPr>
      <w:rFonts w:ascii="Times New Roman" w:hAnsi="Times New Roman"/>
      <w:kern w:val="2"/>
      <w:sz w:val="21"/>
    </w:rPr>
  </w:style>
  <w:style w:type="character" w:customStyle="1" w:styleId="71">
    <w:name w:val="正文文本缩进 3 字符"/>
    <w:basedOn w:val="24"/>
    <w:link w:val="18"/>
    <w:autoRedefine/>
    <w:semiHidden/>
    <w:qFormat/>
    <w:uiPriority w:val="0"/>
    <w:rPr>
      <w:rFonts w:ascii="Times New Roman" w:hAnsi="Times New Roman"/>
      <w:kern w:val="2"/>
      <w:sz w:val="16"/>
      <w:szCs w:val="16"/>
    </w:rPr>
  </w:style>
  <w:style w:type="character" w:customStyle="1" w:styleId="72">
    <w:name w:val="文档结构图 字符"/>
    <w:basedOn w:val="24"/>
    <w:link w:val="7"/>
    <w:autoRedefine/>
    <w:semiHidden/>
    <w:qFormat/>
    <w:uiPriority w:val="0"/>
    <w:rPr>
      <w:rFonts w:ascii="宋体" w:hAnsi="Times New Roman"/>
      <w:kern w:val="2"/>
      <w:sz w:val="18"/>
      <w:szCs w:val="18"/>
    </w:rPr>
  </w:style>
  <w:style w:type="paragraph" w:customStyle="1" w:styleId="73">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szCs w:val="21"/>
    </w:rPr>
  </w:style>
  <w:style w:type="character" w:customStyle="1" w:styleId="74">
    <w:name w:val="列表段落 字符"/>
    <w:link w:val="28"/>
    <w:autoRedefine/>
    <w:qFormat/>
    <w:uiPriority w:val="34"/>
    <w:rPr>
      <w:kern w:val="2"/>
      <w:sz w:val="21"/>
      <w:szCs w:val="22"/>
    </w:rPr>
  </w:style>
  <w:style w:type="paragraph" w:customStyle="1" w:styleId="75">
    <w:name w:val="图例"/>
    <w:basedOn w:val="1"/>
    <w:autoRedefine/>
    <w:qFormat/>
    <w:uiPriority w:val="0"/>
    <w:pPr>
      <w:spacing w:before="120" w:after="120" w:line="360" w:lineRule="auto"/>
      <w:jc w:val="center"/>
    </w:pPr>
    <w:rPr>
      <w:rFonts w:eastAsia="仿宋_GB2312"/>
      <w:b/>
      <w:sz w:val="24"/>
      <w:szCs w:val="20"/>
    </w:rPr>
  </w:style>
  <w:style w:type="paragraph" w:customStyle="1" w:styleId="76">
    <w:name w:val="标2"/>
    <w:basedOn w:val="1"/>
    <w:autoRedefine/>
    <w:qFormat/>
    <w:uiPriority w:val="0"/>
    <w:pPr>
      <w:numPr>
        <w:ilvl w:val="1"/>
        <w:numId w:val="1"/>
      </w:numPr>
      <w:adjustRightInd w:val="0"/>
      <w:snapToGrid w:val="0"/>
      <w:spacing w:beforeLines="50" w:afterLines="50" w:line="240" w:lineRule="atLeast"/>
      <w:outlineLvl w:val="1"/>
    </w:pPr>
    <w:rPr>
      <w:rFonts w:ascii="宋体" w:hAnsi="宋体"/>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97F39-6262-4576-9D7B-87192006BC15}">
  <ds:schemaRefs/>
</ds:datastoreItem>
</file>

<file path=docProps/app.xml><?xml version="1.0" encoding="utf-8"?>
<Properties xmlns="http://schemas.openxmlformats.org/officeDocument/2006/extended-properties" xmlns:vt="http://schemas.openxmlformats.org/officeDocument/2006/docPropsVTypes">
  <Template>0</Template>
  <Company>China</Company>
  <Pages>51</Pages>
  <Words>4290</Words>
  <Characters>24459</Characters>
  <Lines>203</Lines>
  <Paragraphs>57</Paragraphs>
  <TotalTime>0</TotalTime>
  <ScaleCrop>false</ScaleCrop>
  <LinksUpToDate>false</LinksUpToDate>
  <CharactersWithSpaces>28692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2023-06-21T08:55:00Z</dcterms:created>
  <dc:creator>朱小飞</dc:creator>
  <cp:lastModifiedBy>ʚɞ</cp:lastModifiedBy>
  <cp:lastPrinted>2023-04-27T08:15:00Z</cp:lastPrinted>
  <dcterms:modified xsi:type="dcterms:W3CDTF">2024-05-27T07:00:18Z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92FC60FE837D41D5BA27754F9B83FBC3_13</vt:lpwstr>
  </property>
</Properties>
</file>